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01" w:rsidRPr="00BE7F01" w:rsidRDefault="00BE7F01" w:rsidP="00BE7F01">
      <w:pPr>
        <w:tabs>
          <w:tab w:val="center" w:pos="4153"/>
          <w:tab w:val="right" w:pos="8306"/>
        </w:tabs>
        <w:spacing w:after="240" w:line="360" w:lineRule="auto"/>
        <w:jc w:val="center"/>
        <w:rPr>
          <w:rFonts w:ascii="Arial" w:hAnsi="Arial" w:cs="Arial"/>
          <w:bCs/>
          <w:sz w:val="22"/>
          <w:szCs w:val="22"/>
          <w:u w:val="single"/>
          <w:lang w:val="ru-RU"/>
        </w:rPr>
      </w:pPr>
      <w:r w:rsidRPr="00BE7F01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Резолюция </w:t>
      </w:r>
      <w:r w:rsidRPr="00BE7F01">
        <w:rPr>
          <w:rFonts w:ascii="Arial" w:hAnsi="Arial" w:cs="Arial"/>
          <w:bCs/>
          <w:sz w:val="22"/>
          <w:szCs w:val="22"/>
          <w:u w:val="single"/>
          <w:lang w:val="en-US"/>
        </w:rPr>
        <w:t>XXX</w:t>
      </w:r>
      <w:r w:rsidRPr="00BE7F01">
        <w:rPr>
          <w:rFonts w:ascii="Arial" w:hAnsi="Arial" w:cs="Arial"/>
          <w:bCs/>
          <w:sz w:val="22"/>
          <w:szCs w:val="22"/>
          <w:u w:val="single"/>
          <w:lang w:val="ru-RU"/>
        </w:rPr>
        <w:t>-2</w:t>
      </w:r>
    </w:p>
    <w:p w:rsidR="00BE7F01" w:rsidRPr="00BE7F01" w:rsidRDefault="00BE7F01" w:rsidP="00BE7F01">
      <w:pPr>
        <w:tabs>
          <w:tab w:val="center" w:pos="4153"/>
          <w:tab w:val="right" w:pos="8306"/>
        </w:tabs>
        <w:spacing w:after="240" w:line="360" w:lineRule="auto"/>
        <w:jc w:val="center"/>
        <w:rPr>
          <w:rFonts w:ascii="Arial" w:hAnsi="Arial" w:cs="Arial"/>
          <w:b/>
          <w:bCs/>
          <w:caps/>
          <w:color w:val="2E74B5"/>
          <w:lang w:val="ru-RU"/>
        </w:rPr>
      </w:pPr>
      <w:r w:rsidRPr="00BE7F01">
        <w:rPr>
          <w:rFonts w:ascii="Arial" w:hAnsi="Arial" w:cs="Arial"/>
          <w:b/>
          <w:bCs/>
          <w:lang w:val="ru-RU"/>
        </w:rPr>
        <w:t>Совместный совет по сотрудничеству между ВМО и МОК</w:t>
      </w:r>
    </w:p>
    <w:p w:rsidR="00BE7F01" w:rsidRPr="00BE7F01" w:rsidRDefault="00BE7F01" w:rsidP="00BE7F01">
      <w:pPr>
        <w:tabs>
          <w:tab w:val="center" w:pos="4153"/>
          <w:tab w:val="right" w:pos="8306"/>
        </w:tabs>
        <w:spacing w:after="240" w:line="36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Межправительственная океанографическая комиссия,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ссылаясь на</w:t>
      </w:r>
      <w:r w:rsidRPr="00BE7F01">
        <w:rPr>
          <w:rFonts w:ascii="Arial" w:hAnsi="Arial" w:cs="Arial"/>
          <w:sz w:val="22"/>
          <w:szCs w:val="22"/>
          <w:lang w:val="ru-RU"/>
        </w:rPr>
        <w:t>:</w:t>
      </w:r>
    </w:p>
    <w:p w:rsidR="00BE7F01" w:rsidRPr="00BE7F01" w:rsidRDefault="00BE7F01" w:rsidP="00BE7F01">
      <w:pPr>
        <w:numPr>
          <w:ilvl w:val="1"/>
          <w:numId w:val="15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резолюцию ВМО 14 (Кг-13) – Совместная техническая комиссия ВМО/МОК по океанографии и морской метеор</w:t>
      </w:r>
      <w:bookmarkStart w:id="0" w:name="_GoBack"/>
      <w:bookmarkEnd w:id="0"/>
      <w:r w:rsidRPr="00BE7F01">
        <w:rPr>
          <w:rFonts w:ascii="Arial" w:hAnsi="Arial" w:cs="Arial"/>
          <w:sz w:val="22"/>
          <w:szCs w:val="22"/>
          <w:lang w:val="ru-RU"/>
        </w:rPr>
        <w:t>ологии (СКОММ),</w:t>
      </w:r>
    </w:p>
    <w:p w:rsidR="00BE7F01" w:rsidRPr="00BE7F01" w:rsidRDefault="00BE7F01" w:rsidP="00BE7F01">
      <w:pPr>
        <w:numPr>
          <w:ilvl w:val="1"/>
          <w:numId w:val="15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резолюцию МОК XX-12 – Совместная техническая комиссия ВМО/МОК по океанографии и морской метеорологии (СКОММ),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принимая во внимание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резолюцию 7 ВМО (Кг-18), которая предусматривает роспуск Совместной технической комиссии ВМО/МОК по океанографии и морской метеорологии (СКОММ) в контексте реформы руководящих структур ВМО,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принимая также во внимание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параллельную резолюцию ВМО 9 (Кг-18),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принимая во внимание далее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расширение сотрудничества между ВМО и МОК в области морской метеорологии, океанографии и климатологии, включая службы, наблюдения и управление информацией, исследования и создание потенциала,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принимая во внимание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изменяющиеся потребности в координации деятельности ВМО и МОК в поддержку таких совместных мероприятий,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рассмотрев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рекомендации Совместной консультативной группы ВМО/МОК по реформированию СКОММ, учрежденной решением 58 (ИС-70) ВМО и решением EC</w:t>
      </w:r>
      <w:r w:rsidRPr="00BE7F01">
        <w:rPr>
          <w:rFonts w:ascii="Arial" w:hAnsi="Arial" w:cs="Arial"/>
          <w:sz w:val="22"/>
          <w:szCs w:val="22"/>
          <w:lang w:val="ru-RU"/>
        </w:rPr>
        <w:noBreakHyphen/>
        <w:t>LI/5.1 МОК,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выражает признательность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сопредседателям и членам Совместной консультативной группы ВМО-МОК по реформированию СКОММ за их работу;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постановляет</w:t>
      </w:r>
      <w:r w:rsidRPr="00BE7F01">
        <w:rPr>
          <w:rFonts w:ascii="Arial" w:hAnsi="Arial" w:cs="Arial"/>
          <w:sz w:val="22"/>
          <w:szCs w:val="22"/>
          <w:lang w:val="ru-RU"/>
        </w:rPr>
        <w:t>:</w:t>
      </w:r>
    </w:p>
    <w:p w:rsidR="00BE7F01" w:rsidRPr="00BE7F01" w:rsidRDefault="00BE7F01" w:rsidP="00BE7F01">
      <w:pPr>
        <w:numPr>
          <w:ilvl w:val="1"/>
          <w:numId w:val="16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включить соответствующие функции и мероприятия СКОММ по системам наблюдений и оперативного прогнозирования состояния океана в Глобальную систему наблюдений за океаном (ГСНО) МОК-ВМО-ЮНЕП-МСЦ при обеспечении функциональных связей с Комиссией ВМО по наблюдениям, инфраструктуре и информационным системам (КНИИС);</w:t>
      </w:r>
    </w:p>
    <w:p w:rsidR="00BE7F01" w:rsidRPr="00BE7F01" w:rsidRDefault="00BE7F01" w:rsidP="00BE7F01">
      <w:pPr>
        <w:numPr>
          <w:ilvl w:val="1"/>
          <w:numId w:val="16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lastRenderedPageBreak/>
        <w:t>включить соответствующие функции и мероприятия СКОММ по управлению данными и информацией в программу по Международному обмену океанографическими данными и информацией (МООД) в тесной увязке с работой КНИИС</w:t>
      </w:r>
      <w:r w:rsidRPr="00BE7F01" w:rsidDel="006077EC">
        <w:rPr>
          <w:rFonts w:ascii="Arial" w:hAnsi="Arial" w:cs="Arial"/>
          <w:sz w:val="22"/>
          <w:szCs w:val="22"/>
          <w:lang w:val="ru-RU"/>
        </w:rPr>
        <w:t xml:space="preserve"> 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ВМО; </w:t>
      </w:r>
    </w:p>
    <w:p w:rsidR="00BE7F01" w:rsidRPr="00BE7F01" w:rsidRDefault="00BE7F01" w:rsidP="00BE7F01">
      <w:pPr>
        <w:numPr>
          <w:ilvl w:val="1"/>
          <w:numId w:val="16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включить соответствующие функции и мероприятия СКОММ по обслуживанию в деятельность Комиссии ВМО по обслуживанию и прикладным программам в тесной увязке с соответствующими мероприятиями МОК в области раннего предупреждения и служб;</w:t>
      </w:r>
    </w:p>
    <w:p w:rsidR="00BE7F01" w:rsidRPr="00BE7F01" w:rsidRDefault="00BE7F01" w:rsidP="00BE7F01">
      <w:pPr>
        <w:numPr>
          <w:ilvl w:val="1"/>
          <w:numId w:val="16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учредить Совместный совет по сотрудничеству между ВМО и МОК в качестве координационного механизма высокого уровня с более широким участием ключевых соответствующих органов ВМО и МОК и с кругом ведения, изложенным в приложении к настоящей резолюции;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постановляет также</w:t>
      </w:r>
      <w:r w:rsidRPr="00BE7F01">
        <w:rPr>
          <w:rFonts w:ascii="Arial" w:hAnsi="Arial" w:cs="Arial"/>
          <w:sz w:val="22"/>
          <w:szCs w:val="22"/>
          <w:lang w:val="ru-RU"/>
        </w:rPr>
        <w:t>, что в течение первого межсессионного периода до апреля 2020 г. Совместный совет по сотрудничеству между ВМО и МОК будет работать под совместным руководством действующих сопредседателей Совместной консультативной группы ВМО-МОК по реформированию СКОММ при техническом консультировании со стороны действующих сопредседателей СКОММ, отмечая, что этим сопредседателям будет предоставлена определенная гибкость в принятии решений для корректировки продолжительности первоначального срока полномочий его членов, определенной в круге ведения, с тем чтобы в будущем их ротация происходила поэтапно;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постановляет также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осуществлять в координации с руководящими органами ВМО обзор деятельности Совместного совета по сотрудничеству между ВМО и МОК, при этом первый обзор следует провести через четыре года и представить его Ассамблее МОК на ее 32-й сессии в 2023 г.;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просит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Совместный совет по сотрудничеству между ВМО и МОК: </w:t>
      </w:r>
    </w:p>
    <w:p w:rsidR="00BE7F01" w:rsidRPr="00BE7F01" w:rsidRDefault="00BE7F01" w:rsidP="00BE7F01">
      <w:pPr>
        <w:numPr>
          <w:ilvl w:val="1"/>
          <w:numId w:val="17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содействовать непрерывному осуществлению всех функций и мероприятий СКОММ путем формулирования рекомендаций относительно связей с соответствующими рабочими структурами с обеих сторон;</w:t>
      </w:r>
    </w:p>
    <w:p w:rsidR="00BE7F01" w:rsidRPr="00BE7F01" w:rsidRDefault="00BE7F01" w:rsidP="00BE7F01">
      <w:pPr>
        <w:numPr>
          <w:ilvl w:val="1"/>
          <w:numId w:val="17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сформулировать в консультации со всеми спонсорами рекомендации относительно совершенствования управления ГСНО в целях дальнейшего развития партнерских и функциональных связей между ГСНО и Комплексной глобальной системой наблюдений ВМО (КГСН ВМО);</w:t>
      </w:r>
    </w:p>
    <w:p w:rsidR="00BE7F01" w:rsidRPr="00BE7F01" w:rsidRDefault="00BE7F01" w:rsidP="00BE7F01">
      <w:pPr>
        <w:numPr>
          <w:ilvl w:val="1"/>
          <w:numId w:val="17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lastRenderedPageBreak/>
        <w:t>подготовить в консультации с ВМО и техническими, научными и региональными органами МОК всеобъемлющую и скоординированную стратегию сотрудничества между ВМО и МОК на основе существующих секторальных стратегий и представить ее в 2021 г. на утверждение руководящим органам ВМО и МОК;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 xml:space="preserve">призывает </w:t>
      </w:r>
      <w:r w:rsidRPr="00BE7F01">
        <w:rPr>
          <w:rFonts w:ascii="Arial" w:hAnsi="Arial" w:cs="Arial"/>
          <w:sz w:val="22"/>
          <w:szCs w:val="22"/>
          <w:lang w:val="ru-RU"/>
        </w:rPr>
        <w:t>членов ВМО и государства – члены МОК координировать национальные меры по выполнению рекомендаций Совместного совета по сотрудничеству между ВМО и МОК, представляемых руководящим органам ВМО и МОК;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просит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Исполнительного секретаря МОК: </w:t>
      </w:r>
    </w:p>
    <w:p w:rsidR="00BE7F01" w:rsidRPr="00BE7F01" w:rsidRDefault="00BE7F01" w:rsidP="00BE7F01">
      <w:pPr>
        <w:numPr>
          <w:ilvl w:val="1"/>
          <w:numId w:val="18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определить в консультации с Генеральным секретарем ВМО рабочие механизмы спонсорской поддержки действующих органов СКОММ и Совместного совета по сотрудничеству между ВМО и МОК и представить доклад об их внедрении Исполнительному совету МОК на его 53-й сессии в 2020 г.;</w:t>
      </w:r>
    </w:p>
    <w:p w:rsidR="00BE7F01" w:rsidRPr="00BE7F01" w:rsidRDefault="00BE7F01" w:rsidP="00BE7F01">
      <w:pPr>
        <w:numPr>
          <w:ilvl w:val="1"/>
          <w:numId w:val="18"/>
        </w:numPr>
        <w:tabs>
          <w:tab w:val="clear" w:pos="709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 xml:space="preserve">провести в консультации с Генеральным секретарем ВМО оценку потребностей в финансовой и </w:t>
      </w:r>
      <w:proofErr w:type="spellStart"/>
      <w:r w:rsidRPr="00BE7F01">
        <w:rPr>
          <w:rFonts w:ascii="Arial" w:hAnsi="Arial" w:cs="Arial"/>
          <w:sz w:val="22"/>
          <w:szCs w:val="22"/>
          <w:lang w:val="ru-RU"/>
        </w:rPr>
        <w:t>секретариатской</w:t>
      </w:r>
      <w:proofErr w:type="spellEnd"/>
      <w:r w:rsidRPr="00BE7F01">
        <w:rPr>
          <w:rFonts w:ascii="Arial" w:hAnsi="Arial" w:cs="Arial"/>
          <w:sz w:val="22"/>
          <w:szCs w:val="22"/>
          <w:lang w:val="ru-RU"/>
        </w:rPr>
        <w:t xml:space="preserve"> поддержке Совместного совета по сотрудничеству между ВМО и МОК;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 xml:space="preserve">соглашается с тем, </w:t>
      </w:r>
      <w:r w:rsidRPr="00BE7F01">
        <w:rPr>
          <w:rFonts w:ascii="Arial" w:hAnsi="Arial" w:cs="Arial"/>
          <w:bCs/>
          <w:sz w:val="22"/>
          <w:szCs w:val="22"/>
          <w:lang w:val="ru-RU"/>
        </w:rPr>
        <w:t xml:space="preserve">что бюджет для этих мероприятий будет определен в рамках общей резолюции по программе и бюджету МОК, принимаемой в ходе данной сессии (резолюция МОК </w:t>
      </w:r>
      <w:r w:rsidRPr="00BE7F01">
        <w:rPr>
          <w:rFonts w:ascii="Arial" w:hAnsi="Arial" w:cs="Arial"/>
          <w:sz w:val="22"/>
          <w:szCs w:val="22"/>
        </w:rPr>
        <w:t>XXX</w:t>
      </w:r>
      <w:r w:rsidRPr="00BE7F01">
        <w:rPr>
          <w:rFonts w:ascii="Arial" w:hAnsi="Arial" w:cs="Arial"/>
          <w:sz w:val="22"/>
          <w:szCs w:val="22"/>
          <w:lang w:val="ru-RU"/>
        </w:rPr>
        <w:t>-(12));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 w:rsidRPr="00BE7F01">
        <w:rPr>
          <w:rFonts w:ascii="Arial" w:hAnsi="Arial" w:cs="Arial"/>
          <w:b/>
          <w:bCs/>
          <w:sz w:val="22"/>
          <w:szCs w:val="22"/>
          <w:lang w:val="ru-RU"/>
        </w:rPr>
        <w:t>постановляет далее</w:t>
      </w:r>
      <w:r w:rsidRPr="00BE7F01">
        <w:rPr>
          <w:rFonts w:ascii="Arial" w:hAnsi="Arial" w:cs="Arial"/>
          <w:sz w:val="22"/>
          <w:szCs w:val="22"/>
          <w:lang w:val="ru-RU"/>
        </w:rPr>
        <w:t xml:space="preserve"> распустить Совместную техническую комиссию ВМО-МОК по океанографии и морской метеорологии по завершении переходного периода, заканчивающегося в апреле 2020 г., как это определено в резолюции 36 (ИС-70) ВМО. </w:t>
      </w:r>
    </w:p>
    <w:p w:rsidR="00BE7F01" w:rsidRPr="00BE7F01" w:rsidRDefault="00BE7F01" w:rsidP="00BE7F01">
      <w:pPr>
        <w:pStyle w:val="Heading2"/>
        <w:spacing w:line="360" w:lineRule="auto"/>
        <w:jc w:val="center"/>
        <w:rPr>
          <w:rFonts w:eastAsia="Verdana" w:cs="Arial"/>
          <w:iCs/>
          <w:color w:val="000000" w:themeColor="text1"/>
          <w:szCs w:val="22"/>
          <w:u w:val="single"/>
          <w:lang w:val="ru-RU"/>
        </w:rPr>
      </w:pPr>
      <w:bookmarkStart w:id="1" w:name="_Toc9938005"/>
      <w:r w:rsidRPr="00BE7F01">
        <w:rPr>
          <w:rFonts w:cs="Arial"/>
          <w:color w:val="000000" w:themeColor="text1"/>
          <w:szCs w:val="22"/>
          <w:u w:val="single"/>
          <w:lang w:val="ru-RU"/>
        </w:rPr>
        <w:t>Приложение к резолюции XXX-2</w:t>
      </w:r>
      <w:bookmarkEnd w:id="1"/>
    </w:p>
    <w:p w:rsidR="00BE7F01" w:rsidRPr="00BE7F01" w:rsidRDefault="00BE7F01" w:rsidP="00BE7F01">
      <w:pPr>
        <w:pStyle w:val="Heading2"/>
        <w:spacing w:line="360" w:lineRule="auto"/>
        <w:jc w:val="both"/>
        <w:rPr>
          <w:rFonts w:eastAsia="Verdana" w:cs="Arial"/>
          <w:b/>
          <w:iCs/>
          <w:color w:val="000000" w:themeColor="text1"/>
          <w:szCs w:val="22"/>
          <w:lang w:val="ru-RU"/>
        </w:rPr>
      </w:pPr>
      <w:bookmarkStart w:id="2" w:name="_Toc9938006"/>
      <w:r w:rsidRPr="00BE7F01">
        <w:rPr>
          <w:rFonts w:cs="Arial"/>
          <w:b/>
          <w:color w:val="000000" w:themeColor="text1"/>
          <w:szCs w:val="22"/>
          <w:lang w:val="ru-RU"/>
        </w:rPr>
        <w:t>Круг ведения Совместного совета по сотрудничеству между ВМО и МОК</w:t>
      </w:r>
      <w:bookmarkEnd w:id="2"/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i/>
          <w:iCs/>
          <w:lang w:val="ru-RU"/>
        </w:rPr>
      </w:pPr>
      <w:r w:rsidRPr="00BE7F01">
        <w:rPr>
          <w:i/>
          <w:iCs/>
          <w:lang w:val="ru-RU"/>
        </w:rPr>
        <w:t>Заявление о целях</w:t>
      </w:r>
      <w:r w:rsidRPr="00BE7F01">
        <w:rPr>
          <w:lang w:val="ru-RU"/>
        </w:rPr>
        <w:t xml:space="preserve"> 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t xml:space="preserve">Совместный совет по сотрудничеству между ВМО и МОК будет в максимальной степени использовать возможности для совместного планирования, развития и осуществления научно-технической деятельности в области океанографии и метеорологии, что в конечном счете будет способствовать улучшению предоставляемых информации и услуг на благо общества. 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lastRenderedPageBreak/>
        <w:t>Он будет предлагать инициативы по совершенствованию сквозных звеньев всей цепочки создания и применения продукции, начиная с наблюдений, управления данными, систем прогнозирования и прогнозирования системы Земли и заканчивая услугами и привлечением конечных пользователей, и укреплять связи с исследовательскими программами в целях содействия инновациям.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t xml:space="preserve">На основе совместной работы с океанографическими и метеорологическими сообществами Совет по сотрудничеству будет предоставлять стратегические консультации по вопросам совместной разработки и осуществления программ, а также управления ими с учетом соответствующих долгосрочных целей и задач. Совет по сотрудничеству будет влиять на то, каким образом ВМО и МОК будут совместно обеспечивать предоставление соответствующей метеорологической и океанографической информации и услуг по открытому океану, прибрежным районам и в высоких широтах. Кроме того, он будет предоставлять руководящие указания и консультации по техническим и научным вопросам в целях достижения оптимальной </w:t>
      </w:r>
      <w:proofErr w:type="spellStart"/>
      <w:r w:rsidRPr="00BE7F01">
        <w:rPr>
          <w:lang w:val="ru-RU"/>
        </w:rPr>
        <w:t>взаимодополняемости</w:t>
      </w:r>
      <w:proofErr w:type="spellEnd"/>
      <w:r w:rsidRPr="00BE7F01">
        <w:rPr>
          <w:lang w:val="ru-RU"/>
        </w:rPr>
        <w:t xml:space="preserve"> мероприятий, в том числе путем разработки общих проектов, при соблюдении принципов общего управления.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i/>
          <w:iCs/>
          <w:lang w:val="ru-RU"/>
        </w:rPr>
      </w:pPr>
      <w:r w:rsidRPr="00BE7F01">
        <w:rPr>
          <w:i/>
          <w:iCs/>
          <w:lang w:val="ru-RU"/>
        </w:rPr>
        <w:t>Мандат</w:t>
      </w:r>
    </w:p>
    <w:p w:rsidR="00BE7F01" w:rsidRPr="00BE7F01" w:rsidRDefault="00BE7F01" w:rsidP="00BE7F01">
      <w:pPr>
        <w:pStyle w:val="WMOBodyText"/>
        <w:spacing w:before="0" w:after="240" w:line="360" w:lineRule="auto"/>
        <w:ind w:left="567" w:hanging="567"/>
        <w:jc w:val="both"/>
        <w:rPr>
          <w:lang w:val="ru-RU"/>
        </w:rPr>
      </w:pPr>
      <w:r w:rsidRPr="00BE7F01">
        <w:rPr>
          <w:lang w:val="ru-RU"/>
        </w:rPr>
        <w:t>(a)</w:t>
      </w:r>
      <w:r w:rsidRPr="00BE7F01">
        <w:rPr>
          <w:lang w:val="ru-RU"/>
        </w:rPr>
        <w:tab/>
        <w:t>Координация на основе четырехлетней стратегии сотрудничества ВМО-МОК совместной разработки, интеграции и осуществления мероприятий, касающихся океанографических и метеорологических наблюдений, управления данными и информацией, служб, систем моделирования и прогнозирования, а также исследований и развития потенциала, проводимых ВМО и МОК;</w:t>
      </w:r>
    </w:p>
    <w:p w:rsidR="00BE7F01" w:rsidRPr="00BE7F01" w:rsidRDefault="00BE7F01" w:rsidP="00BE7F01">
      <w:pPr>
        <w:pStyle w:val="WMOBodyText"/>
        <w:spacing w:before="0" w:after="240" w:line="360" w:lineRule="auto"/>
        <w:ind w:left="567" w:hanging="567"/>
        <w:jc w:val="both"/>
        <w:rPr>
          <w:lang w:val="ru-RU"/>
        </w:rPr>
      </w:pPr>
      <w:r w:rsidRPr="00BE7F01">
        <w:rPr>
          <w:lang w:val="ru-RU"/>
        </w:rPr>
        <w:t xml:space="preserve">(b) </w:t>
      </w:r>
      <w:r w:rsidRPr="00BE7F01">
        <w:rPr>
          <w:lang w:val="ru-RU"/>
        </w:rPr>
        <w:tab/>
        <w:t>предоставление руководящим органам ВМО и МОК стратегических консультаций по вопросам совместной работы ВМО и МОК для достижения соответствующих целей, включая, при необходимости, предложения относительно новых мер, например, путем подготовки скоординированных проектов резолюций и/или решений для руководящих органов ВМО и МОК,</w:t>
      </w:r>
    </w:p>
    <w:p w:rsidR="00BE7F01" w:rsidRPr="00BE7F01" w:rsidRDefault="00BE7F01" w:rsidP="00BE7F01">
      <w:pPr>
        <w:pStyle w:val="WMOBodyText"/>
        <w:spacing w:before="0" w:after="240" w:line="360" w:lineRule="auto"/>
        <w:ind w:left="567" w:hanging="567"/>
        <w:jc w:val="both"/>
        <w:rPr>
          <w:lang w:val="ru-RU"/>
        </w:rPr>
      </w:pPr>
      <w:r w:rsidRPr="00BE7F01">
        <w:rPr>
          <w:lang w:val="ru-RU"/>
        </w:rPr>
        <w:t xml:space="preserve">(c) </w:t>
      </w:r>
      <w:r w:rsidRPr="00BE7F01">
        <w:rPr>
          <w:lang w:val="ru-RU"/>
        </w:rPr>
        <w:tab/>
        <w:t>обзор планов работы и предоставление технических и научных рекомендаций вспомогательным органам и программам ВМО и МОК, включая представление предложений по сквозным проектам,</w:t>
      </w:r>
    </w:p>
    <w:p w:rsidR="00BE7F01" w:rsidRPr="00BE7F01" w:rsidRDefault="00BE7F01" w:rsidP="00BE7F01">
      <w:pPr>
        <w:pStyle w:val="WMOBodyText"/>
        <w:spacing w:before="0" w:after="240" w:line="360" w:lineRule="auto"/>
        <w:ind w:left="567" w:hanging="567"/>
        <w:jc w:val="both"/>
        <w:rPr>
          <w:lang w:val="ru-RU"/>
        </w:rPr>
      </w:pPr>
      <w:r w:rsidRPr="00BE7F01">
        <w:rPr>
          <w:lang w:val="ru-RU"/>
        </w:rPr>
        <w:t>(d)</w:t>
      </w:r>
      <w:r w:rsidRPr="00BE7F01">
        <w:rPr>
          <w:lang w:val="ru-RU"/>
        </w:rPr>
        <w:tab/>
        <w:t>поддержание связей или проведение консультаций с соответствующими межправительственными и международными заинтересованными сторонами.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i/>
          <w:iCs/>
          <w:lang w:val="ru-RU"/>
        </w:rPr>
      </w:pPr>
      <w:r w:rsidRPr="00BE7F01">
        <w:rPr>
          <w:i/>
          <w:iCs/>
          <w:lang w:val="ru-RU"/>
        </w:rPr>
        <w:t>Членский состав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lastRenderedPageBreak/>
        <w:t>В состав Совета по сотрудничеству входят:</w:t>
      </w:r>
    </w:p>
    <w:p w:rsidR="00BE7F01" w:rsidRPr="00BE7F01" w:rsidRDefault="00BE7F01" w:rsidP="00BE7F01">
      <w:pPr>
        <w:pStyle w:val="WMOBodyText"/>
        <w:spacing w:before="0" w:after="240" w:line="360" w:lineRule="auto"/>
        <w:ind w:left="567" w:hanging="567"/>
        <w:jc w:val="both"/>
        <w:rPr>
          <w:lang w:val="ru-RU"/>
        </w:rPr>
      </w:pPr>
      <w:r w:rsidRPr="00BE7F01">
        <w:rPr>
          <w:lang w:val="ru-RU"/>
        </w:rPr>
        <w:t>(a)</w:t>
      </w:r>
      <w:r w:rsidRPr="00BE7F01">
        <w:rPr>
          <w:lang w:val="ru-RU"/>
        </w:rPr>
        <w:tab/>
        <w:t>Десять представителей научных и технических органов и программ ВМО и МОК, включая органы, управление которыми они осуществляют совместно:</w:t>
      </w:r>
    </w:p>
    <w:p w:rsidR="00BE7F01" w:rsidRPr="00BE7F01" w:rsidRDefault="00BE7F01" w:rsidP="00BE7F01">
      <w:pPr>
        <w:pStyle w:val="WMOBodyText"/>
        <w:tabs>
          <w:tab w:val="clear" w:pos="1134"/>
        </w:tabs>
        <w:spacing w:before="0" w:after="240" w:line="360" w:lineRule="auto"/>
        <w:ind w:left="993" w:right="-107" w:hanging="426"/>
        <w:jc w:val="both"/>
        <w:rPr>
          <w:lang w:val="ru-RU"/>
        </w:rPr>
      </w:pPr>
      <w:r w:rsidRPr="00BE7F01">
        <w:rPr>
          <w:lang w:val="ru-RU"/>
        </w:rPr>
        <w:t>(i)</w:t>
      </w:r>
      <w:r w:rsidRPr="00BE7F01">
        <w:rPr>
          <w:lang w:val="ru-RU"/>
        </w:rPr>
        <w:tab/>
        <w:t>пять членов назначаются Президентом ВМО из числа лиц, ответственных за руководство деятельностью в области систем наблюдений, обработки данных и управления ими, систем, услуг и прикладных программ прогнозирования, а также исследований, в области метеорологии;</w:t>
      </w:r>
    </w:p>
    <w:p w:rsidR="00BE7F01" w:rsidRPr="00BE7F01" w:rsidRDefault="00BE7F01" w:rsidP="00BE7F01">
      <w:pPr>
        <w:pStyle w:val="WMOBodyText"/>
        <w:tabs>
          <w:tab w:val="clear" w:pos="1134"/>
        </w:tabs>
        <w:spacing w:before="0" w:after="240" w:line="360" w:lineRule="auto"/>
        <w:ind w:left="993" w:hanging="426"/>
        <w:jc w:val="both"/>
        <w:rPr>
          <w:lang w:val="ru-RU"/>
        </w:rPr>
      </w:pPr>
      <w:r w:rsidRPr="00BE7F01">
        <w:rPr>
          <w:lang w:val="ru-RU"/>
        </w:rPr>
        <w:t>(</w:t>
      </w:r>
      <w:proofErr w:type="spellStart"/>
      <w:r w:rsidRPr="00BE7F01">
        <w:rPr>
          <w:lang w:val="ru-RU"/>
        </w:rPr>
        <w:t>ii</w:t>
      </w:r>
      <w:proofErr w:type="spellEnd"/>
      <w:r w:rsidRPr="00BE7F01">
        <w:rPr>
          <w:lang w:val="ru-RU"/>
        </w:rPr>
        <w:t>)</w:t>
      </w:r>
      <w:r w:rsidRPr="00BE7F01">
        <w:rPr>
          <w:lang w:val="ru-RU"/>
        </w:rPr>
        <w:tab/>
        <w:t xml:space="preserve">пять членов назначаются Председателем МОК, из числа лиц, ответственных за руководство деятельностью в области систем наблюдений, управления данными и информацией, систем прогнозирования, раннего предупреждения и служб, а также исследований, в области океанографии; </w:t>
      </w:r>
    </w:p>
    <w:p w:rsidR="00BE7F01" w:rsidRPr="00BE7F01" w:rsidRDefault="00BE7F01" w:rsidP="00BE7F01">
      <w:pPr>
        <w:pStyle w:val="WMOBodyText"/>
        <w:spacing w:before="0" w:after="240" w:line="360" w:lineRule="auto"/>
        <w:ind w:left="567" w:hanging="567"/>
        <w:jc w:val="both"/>
        <w:rPr>
          <w:lang w:val="ru-RU"/>
        </w:rPr>
      </w:pPr>
      <w:r w:rsidRPr="00BE7F01">
        <w:rPr>
          <w:lang w:val="ru-RU"/>
        </w:rPr>
        <w:t>(b)</w:t>
      </w:r>
      <w:r w:rsidRPr="00BE7F01">
        <w:rPr>
          <w:lang w:val="ru-RU"/>
        </w:rPr>
        <w:tab/>
        <w:t xml:space="preserve">Члены, назначаемые из общего числа членов Исполнительного совета ВМО и представителей государств – членов МОК, при соблюдении общей географической сбалансированности: </w:t>
      </w:r>
    </w:p>
    <w:p w:rsidR="00BE7F01" w:rsidRPr="00BE7F01" w:rsidRDefault="00BE7F01" w:rsidP="00BE7F01">
      <w:pPr>
        <w:pStyle w:val="WMOBodyText"/>
        <w:tabs>
          <w:tab w:val="clear" w:pos="1134"/>
        </w:tabs>
        <w:spacing w:before="0" w:after="240" w:line="360" w:lineRule="auto"/>
        <w:ind w:left="993" w:hanging="426"/>
        <w:jc w:val="both"/>
        <w:rPr>
          <w:lang w:val="ru-RU"/>
        </w:rPr>
      </w:pPr>
      <w:r w:rsidRPr="00BE7F01">
        <w:rPr>
          <w:lang w:val="ru-RU"/>
        </w:rPr>
        <w:t>(i)</w:t>
      </w:r>
      <w:r w:rsidRPr="00BE7F01">
        <w:rPr>
          <w:lang w:val="ru-RU"/>
        </w:rPr>
        <w:tab/>
        <w:t>три члена Исполнительного совета ВМО, назначаемые Президентом ВМО;</w:t>
      </w:r>
    </w:p>
    <w:p w:rsidR="00BE7F01" w:rsidRPr="00BE7F01" w:rsidRDefault="00BE7F01" w:rsidP="00BE7F01">
      <w:pPr>
        <w:pStyle w:val="WMOBodyText"/>
        <w:tabs>
          <w:tab w:val="clear" w:pos="1134"/>
        </w:tabs>
        <w:spacing w:before="0" w:after="240" w:line="360" w:lineRule="auto"/>
        <w:ind w:left="993" w:hanging="426"/>
        <w:jc w:val="both"/>
        <w:rPr>
          <w:lang w:val="ru-RU"/>
        </w:rPr>
      </w:pPr>
      <w:r w:rsidRPr="00BE7F01">
        <w:rPr>
          <w:lang w:val="ru-RU"/>
        </w:rPr>
        <w:t>(</w:t>
      </w:r>
      <w:proofErr w:type="spellStart"/>
      <w:r w:rsidRPr="00BE7F01">
        <w:rPr>
          <w:lang w:val="ru-RU"/>
        </w:rPr>
        <w:t>ii</w:t>
      </w:r>
      <w:proofErr w:type="spellEnd"/>
      <w:r w:rsidRPr="00BE7F01">
        <w:rPr>
          <w:lang w:val="ru-RU"/>
        </w:rPr>
        <w:t>)</w:t>
      </w:r>
      <w:r w:rsidRPr="00BE7F01">
        <w:rPr>
          <w:lang w:val="ru-RU"/>
        </w:rPr>
        <w:tab/>
        <w:t>три представителя государств – членов МОК, назначаемые Председателем МОК в консультации с должностными лицами МОК;</w:t>
      </w:r>
    </w:p>
    <w:p w:rsidR="00BE7F01" w:rsidRPr="00BE7F01" w:rsidRDefault="00BE7F01" w:rsidP="00BE7F01">
      <w:pPr>
        <w:pStyle w:val="WMOBodyText"/>
        <w:spacing w:before="0" w:after="240" w:line="360" w:lineRule="auto"/>
        <w:ind w:left="567" w:hanging="567"/>
        <w:jc w:val="both"/>
        <w:rPr>
          <w:lang w:val="ru-RU"/>
        </w:rPr>
      </w:pPr>
      <w:r w:rsidRPr="00BE7F01">
        <w:rPr>
          <w:lang w:val="ru-RU"/>
        </w:rPr>
        <w:t>(c)</w:t>
      </w:r>
      <w:r w:rsidRPr="00BE7F01">
        <w:rPr>
          <w:lang w:val="ru-RU"/>
        </w:rPr>
        <w:tab/>
        <w:t>два сопредседателя:</w:t>
      </w:r>
    </w:p>
    <w:p w:rsidR="00BE7F01" w:rsidRPr="00BE7F01" w:rsidRDefault="00BE7F01" w:rsidP="00BE7F01">
      <w:pPr>
        <w:pStyle w:val="WMOBodyText"/>
        <w:spacing w:before="0" w:after="240" w:line="360" w:lineRule="auto"/>
        <w:ind w:left="992" w:hanging="425"/>
        <w:jc w:val="both"/>
        <w:rPr>
          <w:lang w:val="ru-RU"/>
        </w:rPr>
      </w:pPr>
      <w:r w:rsidRPr="00BE7F01">
        <w:rPr>
          <w:lang w:val="ru-RU"/>
        </w:rPr>
        <w:t>(i)</w:t>
      </w:r>
      <w:r w:rsidRPr="00BE7F01">
        <w:rPr>
          <w:lang w:val="ru-RU"/>
        </w:rPr>
        <w:tab/>
        <w:t>Вице-президент ВМО, назначаемый Президентом ВМО, и</w:t>
      </w:r>
    </w:p>
    <w:p w:rsidR="00BE7F01" w:rsidRPr="00BE7F01" w:rsidRDefault="00BE7F01" w:rsidP="00BE7F01">
      <w:pPr>
        <w:pStyle w:val="WMOBodyText"/>
        <w:spacing w:before="0" w:after="240" w:line="360" w:lineRule="auto"/>
        <w:ind w:left="993" w:hanging="426"/>
        <w:jc w:val="both"/>
        <w:rPr>
          <w:lang w:val="ru-RU"/>
        </w:rPr>
      </w:pPr>
      <w:r w:rsidRPr="00BE7F01">
        <w:rPr>
          <w:lang w:val="ru-RU"/>
        </w:rPr>
        <w:t>(</w:t>
      </w:r>
      <w:proofErr w:type="spellStart"/>
      <w:r w:rsidRPr="00BE7F01">
        <w:rPr>
          <w:lang w:val="ru-RU"/>
        </w:rPr>
        <w:t>ii</w:t>
      </w:r>
      <w:proofErr w:type="spellEnd"/>
      <w:r w:rsidRPr="00BE7F01">
        <w:rPr>
          <w:lang w:val="ru-RU"/>
        </w:rPr>
        <w:t>)</w:t>
      </w:r>
      <w:r w:rsidRPr="00BE7F01">
        <w:rPr>
          <w:lang w:val="ru-RU"/>
        </w:rPr>
        <w:tab/>
        <w:t>заместитель Председателя МОК, назначаемый Председателем МОК.</w:t>
      </w:r>
    </w:p>
    <w:p w:rsidR="00BE7F01" w:rsidRPr="00BE7F01" w:rsidRDefault="00BE7F01" w:rsidP="00BE7F01">
      <w:pPr>
        <w:pStyle w:val="WMOBodyText"/>
        <w:keepNext/>
        <w:spacing w:before="0" w:after="240" w:line="360" w:lineRule="auto"/>
        <w:ind w:left="720" w:hanging="720"/>
        <w:jc w:val="both"/>
        <w:rPr>
          <w:i/>
          <w:iCs/>
          <w:lang w:val="ru-RU"/>
        </w:rPr>
      </w:pPr>
      <w:r w:rsidRPr="00BE7F01">
        <w:rPr>
          <w:i/>
          <w:iCs/>
          <w:lang w:val="ru-RU"/>
        </w:rPr>
        <w:t>Рабочие процедуры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t>Срок полномочий сопредседателей составляет два года с возможностью повторного назначения на второй срок.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t>Другие члены выполняют свои обязанности в течение четырех лет или в зависимости от срока их полномочий на руководящих должностях в ВМО, МОК или совместных органах.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t>Сопредседатели представляют Совет по сотрудничеству на сессиях руководящих органов ВМО и МОК.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lastRenderedPageBreak/>
        <w:t xml:space="preserve">Как правило, Совет по сотрудничеству проводит очные заседания каждый год с целью подготовки рекомендаций для руководящих органов ВМО и МОК. Межсессионная работа должна проводиться по переписке или с помощью виртуальных технологий. 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t>Члены Совета по сотрудничеству ведут совместно на стыке и в рамках своих соответствующих составных органов и мероприятий работу, касающуюся наблюдений, данных, систем прогнозирования, служб и исследований ВМО и МОК и направленную на достижение целей, определенных в мандате Совета по сотрудничеству.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t>Совет по сотрудничеству может создавать вспомогательные структуры с ограниченным во времени сроком полномочий для выполнения конкретных задач в межсессионный период. Такие временные вспомогательные структуры прекращают свое существование в конце каждого межсессионного периода или могут быть созданы вновь.</w:t>
      </w:r>
    </w:p>
    <w:p w:rsidR="00BE7F01" w:rsidRPr="00BE7F01" w:rsidRDefault="00BE7F01" w:rsidP="00BE7F01">
      <w:pPr>
        <w:pStyle w:val="WMOBodyText"/>
        <w:spacing w:before="0" w:after="240" w:line="360" w:lineRule="auto"/>
        <w:jc w:val="both"/>
        <w:rPr>
          <w:lang w:val="ru-RU"/>
        </w:rPr>
      </w:pPr>
      <w:r w:rsidRPr="00BE7F01">
        <w:rPr>
          <w:lang w:val="ru-RU"/>
        </w:rPr>
        <w:t xml:space="preserve">Председатели других соответствующих региональных структур, рабочих групп, дискуссионных групп и групп экспертов ВМО и МОК, а также отдельные эксперты могут приглашаться одним из сопредседателей в консультации со вторым сопредседателем для участия в заседаниях Совета по сотрудничеству, если этого требует повестка дня. </w:t>
      </w:r>
    </w:p>
    <w:p w:rsidR="00BE7F01" w:rsidRPr="00BE7F01" w:rsidRDefault="00BE7F01" w:rsidP="00BE7F01">
      <w:pPr>
        <w:spacing w:after="240" w:line="360" w:lineRule="auto"/>
        <w:rPr>
          <w:rFonts w:ascii="Arial" w:hAnsi="Arial" w:cs="Arial"/>
          <w:lang w:val="ru-RU"/>
        </w:rPr>
      </w:pPr>
      <w:r w:rsidRPr="00BE7F01">
        <w:rPr>
          <w:rFonts w:ascii="Arial" w:hAnsi="Arial" w:cs="Arial"/>
          <w:sz w:val="22"/>
          <w:szCs w:val="22"/>
          <w:lang w:val="ru-RU"/>
        </w:rPr>
        <w:t>Представители других учреждений системы Организации Объединенных Наций или международных организаций могут приглашаться в Совет по сотрудничеству в качестве наблюдателей по усмотрению одного из сопредседателей в консультации со вторым сопредседателем.</w:t>
      </w:r>
    </w:p>
    <w:p w:rsidR="00635C11" w:rsidRPr="00BE7F01" w:rsidRDefault="00635C11" w:rsidP="00BE7F01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</w:p>
    <w:sectPr w:rsidR="00635C11" w:rsidRPr="00BE7F01" w:rsidSect="00B736A8">
      <w:headerReference w:type="even" r:id="rId7"/>
      <w:headerReference w:type="default" r:id="rId8"/>
      <w:headerReference w:type="first" r:id="rId9"/>
      <w:pgSz w:w="11906" w:h="16838" w:code="9"/>
      <w:pgMar w:top="737" w:right="141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39" w:rsidRDefault="00485839">
      <w:r>
        <w:separator/>
      </w:r>
    </w:p>
  </w:endnote>
  <w:endnote w:type="continuationSeparator" w:id="0">
    <w:p w:rsidR="00485839" w:rsidRDefault="004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39" w:rsidRDefault="00485839">
      <w:r>
        <w:separator/>
      </w:r>
    </w:p>
  </w:footnote>
  <w:footnote w:type="continuationSeparator" w:id="0">
    <w:p w:rsidR="00485839" w:rsidRDefault="0048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48" w:rsidRDefault="00667348" w:rsidP="00667348">
    <w:pPr>
      <w:pStyle w:val="Header"/>
      <w:rPr>
        <w:rFonts w:ascii="Arial" w:hAnsi="Arial" w:cs="Arial"/>
        <w:sz w:val="20"/>
        <w:lang w:val="es-ES"/>
      </w:rPr>
    </w:pPr>
    <w:proofErr w:type="spellStart"/>
    <w:r>
      <w:rPr>
        <w:rFonts w:ascii="Arial" w:hAnsi="Arial" w:cs="Arial"/>
        <w:sz w:val="20"/>
        <w:lang w:val="es-ES"/>
      </w:rPr>
      <w:t>Resolution</w:t>
    </w:r>
    <w:proofErr w:type="spellEnd"/>
    <w:r>
      <w:rPr>
        <w:rFonts w:ascii="Arial" w:hAnsi="Arial" w:cs="Arial"/>
        <w:sz w:val="20"/>
        <w:lang w:val="es-ES"/>
      </w:rPr>
      <w:t xml:space="preserve"> XXX-</w:t>
    </w:r>
    <w:r w:rsidRPr="0057423E">
      <w:rPr>
        <w:rFonts w:ascii="Arial" w:hAnsi="Arial" w:cs="Arial"/>
        <w:sz w:val="20"/>
        <w:lang w:val="es-ES"/>
      </w:rPr>
      <w:t>2</w:t>
    </w:r>
  </w:p>
  <w:p w:rsidR="00830E3E" w:rsidRPr="0057423E" w:rsidRDefault="00830E3E">
    <w:pPr>
      <w:pStyle w:val="Header"/>
      <w:rPr>
        <w:rStyle w:val="PageNumber"/>
        <w:rFonts w:ascii="Arial" w:hAnsi="Arial" w:cs="Arial"/>
        <w:sz w:val="20"/>
        <w:lang w:val="fr-FR"/>
      </w:rPr>
    </w:pPr>
    <w:r w:rsidRPr="0057423E">
      <w:rPr>
        <w:rFonts w:ascii="Arial" w:hAnsi="Arial" w:cs="Arial"/>
        <w:sz w:val="20"/>
        <w:lang w:val="fr-FR"/>
      </w:rPr>
      <w:t xml:space="preserve">page </w:t>
    </w:r>
    <w:r w:rsidRPr="0057423E">
      <w:rPr>
        <w:rStyle w:val="PageNumber"/>
        <w:rFonts w:ascii="Arial" w:hAnsi="Arial" w:cs="Arial"/>
        <w:sz w:val="20"/>
      </w:rPr>
      <w:fldChar w:fldCharType="begin"/>
    </w:r>
    <w:r w:rsidRPr="0057423E">
      <w:rPr>
        <w:rStyle w:val="PageNumber"/>
        <w:rFonts w:ascii="Arial" w:hAnsi="Arial" w:cs="Arial"/>
        <w:sz w:val="20"/>
        <w:lang w:val="fr-FR"/>
      </w:rPr>
      <w:instrText xml:space="preserve"> PAGE </w:instrText>
    </w:r>
    <w:r w:rsidRPr="0057423E">
      <w:rPr>
        <w:rStyle w:val="PageNumber"/>
        <w:rFonts w:ascii="Arial" w:hAnsi="Arial" w:cs="Arial"/>
        <w:sz w:val="20"/>
      </w:rPr>
      <w:fldChar w:fldCharType="separate"/>
    </w:r>
    <w:r w:rsidR="00BE7F01">
      <w:rPr>
        <w:rStyle w:val="PageNumber"/>
        <w:rFonts w:ascii="Arial" w:hAnsi="Arial" w:cs="Arial"/>
        <w:noProof/>
        <w:sz w:val="20"/>
        <w:lang w:val="fr-FR"/>
      </w:rPr>
      <w:t>6</w:t>
    </w:r>
    <w:r w:rsidRPr="0057423E">
      <w:rPr>
        <w:rStyle w:val="PageNumber"/>
        <w:rFonts w:ascii="Arial" w:hAnsi="Arial" w:cs="Arial"/>
        <w:sz w:val="20"/>
      </w:rPr>
      <w:fldChar w:fldCharType="end"/>
    </w:r>
  </w:p>
  <w:p w:rsidR="00830E3E" w:rsidRPr="00046D9D" w:rsidRDefault="00830E3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3E" w:rsidRPr="00667348" w:rsidRDefault="00667348" w:rsidP="00667348">
    <w:pPr>
      <w:pStyle w:val="Header"/>
      <w:ind w:firstLine="7110"/>
      <w:rPr>
        <w:rFonts w:ascii="Arial" w:hAnsi="Arial" w:cs="Arial"/>
        <w:sz w:val="20"/>
        <w:lang w:val="es-ES"/>
      </w:rPr>
    </w:pPr>
    <w:proofErr w:type="spellStart"/>
    <w:r>
      <w:rPr>
        <w:rFonts w:ascii="Arial" w:hAnsi="Arial" w:cs="Arial"/>
        <w:sz w:val="20"/>
        <w:lang w:val="es-ES"/>
      </w:rPr>
      <w:t>Resolution</w:t>
    </w:r>
    <w:proofErr w:type="spellEnd"/>
    <w:r>
      <w:rPr>
        <w:rFonts w:ascii="Arial" w:hAnsi="Arial" w:cs="Arial"/>
        <w:sz w:val="20"/>
        <w:lang w:val="es-ES"/>
      </w:rPr>
      <w:t xml:space="preserve"> XXX-</w:t>
    </w:r>
    <w:r w:rsidRPr="0057423E">
      <w:rPr>
        <w:rFonts w:ascii="Arial" w:hAnsi="Arial" w:cs="Arial"/>
        <w:sz w:val="20"/>
        <w:lang w:val="es-ES"/>
      </w:rPr>
      <w:t>2</w:t>
    </w:r>
  </w:p>
  <w:p w:rsidR="00830E3E" w:rsidRPr="0057423E" w:rsidRDefault="00830E3E" w:rsidP="00667348">
    <w:pPr>
      <w:pStyle w:val="Header"/>
      <w:tabs>
        <w:tab w:val="clear" w:pos="4153"/>
        <w:tab w:val="clear" w:pos="8306"/>
        <w:tab w:val="center" w:pos="5954"/>
      </w:tabs>
      <w:ind w:firstLine="7164"/>
      <w:rPr>
        <w:rStyle w:val="PageNumber"/>
        <w:rFonts w:ascii="Arial" w:hAnsi="Arial" w:cs="Arial"/>
        <w:sz w:val="20"/>
        <w:lang w:val="fr-FR"/>
      </w:rPr>
    </w:pPr>
    <w:r w:rsidRPr="0057423E">
      <w:rPr>
        <w:rFonts w:ascii="Arial" w:hAnsi="Arial" w:cs="Arial"/>
        <w:sz w:val="20"/>
        <w:lang w:val="fr-FR"/>
      </w:rPr>
      <w:t xml:space="preserve">page </w:t>
    </w:r>
    <w:r w:rsidRPr="0057423E">
      <w:rPr>
        <w:rStyle w:val="PageNumber"/>
        <w:rFonts w:ascii="Arial" w:hAnsi="Arial" w:cs="Arial"/>
        <w:sz w:val="20"/>
      </w:rPr>
      <w:fldChar w:fldCharType="begin"/>
    </w:r>
    <w:r w:rsidRPr="0057423E">
      <w:rPr>
        <w:rStyle w:val="PageNumber"/>
        <w:rFonts w:ascii="Arial" w:hAnsi="Arial" w:cs="Arial"/>
        <w:sz w:val="20"/>
        <w:lang w:val="fr-FR"/>
      </w:rPr>
      <w:instrText xml:space="preserve"> PAGE </w:instrText>
    </w:r>
    <w:r w:rsidRPr="0057423E">
      <w:rPr>
        <w:rStyle w:val="PageNumber"/>
        <w:rFonts w:ascii="Arial" w:hAnsi="Arial" w:cs="Arial"/>
        <w:sz w:val="20"/>
      </w:rPr>
      <w:fldChar w:fldCharType="separate"/>
    </w:r>
    <w:r w:rsidR="00BE7F01">
      <w:rPr>
        <w:rStyle w:val="PageNumber"/>
        <w:rFonts w:ascii="Arial" w:hAnsi="Arial" w:cs="Arial"/>
        <w:noProof/>
        <w:sz w:val="20"/>
        <w:lang w:val="fr-FR"/>
      </w:rPr>
      <w:t>5</w:t>
    </w:r>
    <w:r w:rsidRPr="0057423E">
      <w:rPr>
        <w:rStyle w:val="PageNumber"/>
        <w:rFonts w:ascii="Arial" w:hAnsi="Arial" w:cs="Arial"/>
        <w:sz w:val="20"/>
      </w:rPr>
      <w:fldChar w:fldCharType="end"/>
    </w:r>
  </w:p>
  <w:p w:rsidR="00830E3E" w:rsidRDefault="00830E3E">
    <w:pPr>
      <w:pStyle w:val="Header"/>
      <w:tabs>
        <w:tab w:val="left" w:pos="5954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3E" w:rsidRDefault="0057423E" w:rsidP="0057423E">
    <w:pPr>
      <w:pStyle w:val="Header"/>
      <w:ind w:firstLine="7110"/>
      <w:rPr>
        <w:rFonts w:ascii="Arial" w:hAnsi="Arial" w:cs="Arial"/>
        <w:sz w:val="20"/>
        <w:lang w:val="es-ES"/>
      </w:rPr>
    </w:pPr>
    <w:proofErr w:type="spellStart"/>
    <w:r>
      <w:rPr>
        <w:rFonts w:ascii="Arial" w:hAnsi="Arial" w:cs="Arial"/>
        <w:sz w:val="20"/>
        <w:lang w:val="es-ES"/>
      </w:rPr>
      <w:t>R</w:t>
    </w:r>
    <w:r w:rsidR="00667348">
      <w:rPr>
        <w:rFonts w:ascii="Arial" w:hAnsi="Arial" w:cs="Arial"/>
        <w:sz w:val="20"/>
        <w:lang w:val="es-ES"/>
      </w:rPr>
      <w:t>esolution</w:t>
    </w:r>
    <w:proofErr w:type="spellEnd"/>
    <w:r w:rsidR="00667348">
      <w:rPr>
        <w:rFonts w:ascii="Arial" w:hAnsi="Arial" w:cs="Arial"/>
        <w:sz w:val="20"/>
        <w:lang w:val="es-ES"/>
      </w:rPr>
      <w:t xml:space="preserve"> XXX-</w:t>
    </w:r>
    <w:r w:rsidRPr="0057423E">
      <w:rPr>
        <w:rFonts w:ascii="Arial" w:hAnsi="Arial" w:cs="Arial"/>
        <w:sz w:val="20"/>
        <w:lang w:val="es-ES"/>
      </w:rPr>
      <w:t>2</w:t>
    </w:r>
  </w:p>
  <w:p w:rsidR="0057423E" w:rsidRDefault="0016088D" w:rsidP="0057423E">
    <w:pPr>
      <w:pStyle w:val="Header"/>
      <w:ind w:firstLine="7110"/>
      <w:rPr>
        <w:rFonts w:ascii="Arial" w:hAnsi="Arial" w:cs="Arial"/>
        <w:sz w:val="20"/>
        <w:lang w:val="es-ES"/>
      </w:rPr>
    </w:pPr>
    <w:r>
      <w:rPr>
        <w:rFonts w:ascii="Arial" w:hAnsi="Arial" w:cs="Arial"/>
        <w:sz w:val="20"/>
        <w:lang w:val="es-ES"/>
      </w:rPr>
      <w:t xml:space="preserve">page </w:t>
    </w:r>
    <w:r w:rsidRPr="0016088D">
      <w:rPr>
        <w:rFonts w:ascii="Arial" w:hAnsi="Arial" w:cs="Arial"/>
        <w:sz w:val="20"/>
        <w:lang w:val="es-ES"/>
      </w:rPr>
      <w:fldChar w:fldCharType="begin"/>
    </w:r>
    <w:r w:rsidRPr="0016088D">
      <w:rPr>
        <w:rFonts w:ascii="Arial" w:hAnsi="Arial" w:cs="Arial"/>
        <w:sz w:val="20"/>
        <w:lang w:val="es-ES"/>
      </w:rPr>
      <w:instrText xml:space="preserve"> PAGE   \* MERGEFORMAT </w:instrText>
    </w:r>
    <w:r w:rsidRPr="0016088D">
      <w:rPr>
        <w:rFonts w:ascii="Arial" w:hAnsi="Arial" w:cs="Arial"/>
        <w:sz w:val="20"/>
        <w:lang w:val="es-ES"/>
      </w:rPr>
      <w:fldChar w:fldCharType="separate"/>
    </w:r>
    <w:r w:rsidR="00BE7F01">
      <w:rPr>
        <w:rFonts w:ascii="Arial" w:hAnsi="Arial" w:cs="Arial"/>
        <w:noProof/>
        <w:sz w:val="20"/>
        <w:lang w:val="es-ES"/>
      </w:rPr>
      <w:t>1</w:t>
    </w:r>
    <w:r w:rsidRPr="0016088D">
      <w:rPr>
        <w:rFonts w:ascii="Arial" w:hAnsi="Arial" w:cs="Arial"/>
        <w:noProof/>
        <w:sz w:val="20"/>
        <w:lang w:val="es-ES"/>
      </w:rPr>
      <w:fldChar w:fldCharType="end"/>
    </w:r>
  </w:p>
  <w:p w:rsidR="0057423E" w:rsidRPr="0057423E" w:rsidRDefault="0057423E" w:rsidP="0057423E">
    <w:pPr>
      <w:pStyle w:val="Header"/>
      <w:ind w:firstLine="7110"/>
      <w:rPr>
        <w:rFonts w:ascii="Arial" w:hAnsi="Arial" w:cs="Arial"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842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C47"/>
    <w:multiLevelType w:val="multilevel"/>
    <w:tmpl w:val="1DF8FE98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D2FC3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575C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2363C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918FC"/>
    <w:multiLevelType w:val="multilevel"/>
    <w:tmpl w:val="6D42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C5282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A18EC"/>
    <w:multiLevelType w:val="multilevel"/>
    <w:tmpl w:val="ED70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B5360"/>
    <w:multiLevelType w:val="multilevel"/>
    <w:tmpl w:val="1DF8FE98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83AD2"/>
    <w:multiLevelType w:val="multilevel"/>
    <w:tmpl w:val="CA6C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630D1"/>
    <w:multiLevelType w:val="multilevel"/>
    <w:tmpl w:val="3482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C441A"/>
    <w:multiLevelType w:val="hybridMultilevel"/>
    <w:tmpl w:val="10B0A01A"/>
    <w:lvl w:ilvl="0" w:tplc="9D94CE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i/>
      </w:rPr>
    </w:lvl>
    <w:lvl w:ilvl="1" w:tplc="77602C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98C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F7C0E"/>
    <w:multiLevelType w:val="singleLevel"/>
    <w:tmpl w:val="3C1C5386"/>
    <w:lvl w:ilvl="0">
      <w:start w:val="1"/>
      <w:numFmt w:val="decimal"/>
      <w:lvlText w:val="%1"/>
      <w:lvlJc w:val="left"/>
      <w:pPr>
        <w:tabs>
          <w:tab w:val="num" w:pos="0"/>
        </w:tabs>
        <w:ind w:left="0" w:hanging="709"/>
      </w:pPr>
      <w:rPr>
        <w:b w:val="0"/>
        <w:i/>
      </w:rPr>
    </w:lvl>
  </w:abstractNum>
  <w:abstractNum w:abstractNumId="14" w15:restartNumberingAfterBreak="0">
    <w:nsid w:val="60B42927"/>
    <w:multiLevelType w:val="multilevel"/>
    <w:tmpl w:val="B25A96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5" w15:restartNumberingAfterBreak="0">
    <w:nsid w:val="65E83A04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24129"/>
    <w:multiLevelType w:val="multilevel"/>
    <w:tmpl w:val="FB908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2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90"/>
    <w:rsid w:val="000029AA"/>
    <w:rsid w:val="00046D9D"/>
    <w:rsid w:val="00095096"/>
    <w:rsid w:val="000D46FF"/>
    <w:rsid w:val="000E0CAC"/>
    <w:rsid w:val="00114C0C"/>
    <w:rsid w:val="00133831"/>
    <w:rsid w:val="0014407E"/>
    <w:rsid w:val="001571B5"/>
    <w:rsid w:val="0016088D"/>
    <w:rsid w:val="00164A32"/>
    <w:rsid w:val="001B7AB1"/>
    <w:rsid w:val="002376FA"/>
    <w:rsid w:val="00291DFF"/>
    <w:rsid w:val="002D69AD"/>
    <w:rsid w:val="003417D0"/>
    <w:rsid w:val="00375B17"/>
    <w:rsid w:val="00375C47"/>
    <w:rsid w:val="003B60C2"/>
    <w:rsid w:val="0046239E"/>
    <w:rsid w:val="00485839"/>
    <w:rsid w:val="0057423E"/>
    <w:rsid w:val="0057726E"/>
    <w:rsid w:val="005B6417"/>
    <w:rsid w:val="005E3530"/>
    <w:rsid w:val="0063107B"/>
    <w:rsid w:val="00635C11"/>
    <w:rsid w:val="00667348"/>
    <w:rsid w:val="006D5690"/>
    <w:rsid w:val="00780990"/>
    <w:rsid w:val="00790B86"/>
    <w:rsid w:val="007A195F"/>
    <w:rsid w:val="007A2106"/>
    <w:rsid w:val="007B747B"/>
    <w:rsid w:val="007E294E"/>
    <w:rsid w:val="007E654F"/>
    <w:rsid w:val="007E7CFB"/>
    <w:rsid w:val="00824CD4"/>
    <w:rsid w:val="00830E3E"/>
    <w:rsid w:val="008924EE"/>
    <w:rsid w:val="008D29E6"/>
    <w:rsid w:val="008F6AC8"/>
    <w:rsid w:val="00913FD2"/>
    <w:rsid w:val="00932FD6"/>
    <w:rsid w:val="0099704B"/>
    <w:rsid w:val="00A20A13"/>
    <w:rsid w:val="00A96115"/>
    <w:rsid w:val="00AC0BEA"/>
    <w:rsid w:val="00B03124"/>
    <w:rsid w:val="00B14CB7"/>
    <w:rsid w:val="00B736A8"/>
    <w:rsid w:val="00BE7F01"/>
    <w:rsid w:val="00C02EE4"/>
    <w:rsid w:val="00CD4F4E"/>
    <w:rsid w:val="00D15058"/>
    <w:rsid w:val="00D97EBF"/>
    <w:rsid w:val="00DE10C4"/>
    <w:rsid w:val="00E54CF1"/>
    <w:rsid w:val="00F47218"/>
    <w:rsid w:val="00F85422"/>
    <w:rsid w:val="00FA36EC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090BE"/>
  <w15:chartTrackingRefBased/>
  <w15:docId w15:val="{83FC2602-EC98-425C-B655-8172AF05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9"/>
      </w:tabs>
      <w:jc w:val="both"/>
    </w:pPr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376FA"/>
    <w:pPr>
      <w:keepNext/>
      <w:keepLines/>
      <w:tabs>
        <w:tab w:val="clear" w:pos="709"/>
        <w:tab w:val="left" w:pos="737"/>
      </w:tabs>
      <w:snapToGrid w:val="0"/>
      <w:spacing w:after="240"/>
      <w:jc w:val="left"/>
      <w:outlineLvl w:val="1"/>
    </w:pPr>
    <w:rPr>
      <w:rFonts w:ascii="Arial" w:hAnsi="Arial"/>
      <w:bCs/>
      <w:snapToGrid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09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09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">
    <w:name w:val="(b)"/>
    <w:basedOn w:val="Normal"/>
    <w:rsid w:val="00A20A13"/>
    <w:pPr>
      <w:tabs>
        <w:tab w:val="clear" w:pos="709"/>
        <w:tab w:val="left" w:pos="-737"/>
        <w:tab w:val="left" w:pos="1134"/>
      </w:tabs>
      <w:snapToGrid w:val="0"/>
      <w:spacing w:after="240"/>
      <w:ind w:left="1134" w:hanging="567"/>
    </w:pPr>
    <w:rPr>
      <w:snapToGrid w:val="0"/>
      <w:szCs w:val="24"/>
    </w:rPr>
  </w:style>
  <w:style w:type="paragraph" w:styleId="ListParagraph">
    <w:name w:val="List Paragraph"/>
    <w:basedOn w:val="Normal"/>
    <w:uiPriority w:val="34"/>
    <w:qFormat/>
    <w:rsid w:val="00A20A13"/>
    <w:pPr>
      <w:tabs>
        <w:tab w:val="clear" w:pos="709"/>
        <w:tab w:val="left" w:pos="567"/>
      </w:tabs>
      <w:snapToGrid w:val="0"/>
      <w:ind w:left="720"/>
      <w:contextualSpacing/>
      <w:jc w:val="left"/>
    </w:pPr>
    <w:rPr>
      <w:rFonts w:ascii="Arial" w:hAnsi="Arial"/>
      <w:snapToGrid w:val="0"/>
      <w:sz w:val="22"/>
      <w:szCs w:val="24"/>
    </w:rPr>
  </w:style>
  <w:style w:type="paragraph" w:styleId="BalloonText">
    <w:name w:val="Balloon Text"/>
    <w:basedOn w:val="Normal"/>
    <w:link w:val="BalloonTextChar"/>
    <w:rsid w:val="00AC0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0BE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rsid w:val="0063107B"/>
    <w:rPr>
      <w:color w:val="0000FF"/>
      <w:u w:val="single"/>
    </w:rPr>
  </w:style>
  <w:style w:type="paragraph" w:styleId="NormalWeb">
    <w:name w:val="Normal (Web)"/>
    <w:basedOn w:val="Normal"/>
    <w:rsid w:val="0063107B"/>
    <w:pPr>
      <w:tabs>
        <w:tab w:val="clear" w:pos="709"/>
      </w:tabs>
      <w:spacing w:before="100" w:beforeAutospacing="1" w:after="100" w:afterAutospacing="1"/>
      <w:jc w:val="left"/>
    </w:pPr>
    <w:rPr>
      <w:rFonts w:eastAsia="MS Mincho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2376FA"/>
    <w:rPr>
      <w:rFonts w:ascii="Arial" w:hAnsi="Arial"/>
      <w:bCs/>
      <w:snapToGrid w:val="0"/>
      <w:sz w:val="22"/>
      <w:szCs w:val="24"/>
      <w:lang w:val="en-GB"/>
    </w:rPr>
  </w:style>
  <w:style w:type="paragraph" w:customStyle="1" w:styleId="WMOBodyText">
    <w:name w:val="WMO_BodyText"/>
    <w:basedOn w:val="Normal"/>
    <w:link w:val="WMOBodyTextCharChar"/>
    <w:qFormat/>
    <w:rsid w:val="002376FA"/>
    <w:pPr>
      <w:tabs>
        <w:tab w:val="clear" w:pos="709"/>
        <w:tab w:val="left" w:pos="1134"/>
      </w:tabs>
      <w:spacing w:before="240"/>
      <w:jc w:val="left"/>
    </w:pPr>
    <w:rPr>
      <w:rFonts w:ascii="Arial" w:eastAsia="Arial" w:hAnsi="Arial" w:cs="Arial"/>
      <w:sz w:val="22"/>
      <w:szCs w:val="22"/>
      <w:lang w:eastAsia="zh-TW"/>
    </w:rPr>
  </w:style>
  <w:style w:type="character" w:customStyle="1" w:styleId="WMOBodyTextCharChar">
    <w:name w:val="WMO_BodyText Char Char"/>
    <w:link w:val="WMOBodyText"/>
    <w:rsid w:val="002376FA"/>
    <w:rPr>
      <w:rFonts w:ascii="Arial" w:eastAsia="Arial" w:hAnsi="Arial" w:cs="Arial"/>
      <w:sz w:val="22"/>
      <w:szCs w:val="22"/>
      <w:lang w:val="en-GB" w:eastAsia="zh-TW"/>
    </w:rPr>
  </w:style>
  <w:style w:type="character" w:customStyle="1" w:styleId="Bold">
    <w:name w:val="Bold"/>
    <w:rsid w:val="002376FA"/>
    <w:rPr>
      <w:b/>
    </w:rPr>
  </w:style>
  <w:style w:type="character" w:customStyle="1" w:styleId="apple-converted-space">
    <w:name w:val="apple-converted-space"/>
    <w:basedOn w:val="DefaultParagraphFont"/>
    <w:rsid w:val="00C0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ioc_temp</dc:creator>
  <cp:keywords/>
  <dc:description/>
  <cp:lastModifiedBy>Pastor Reyes, Ingrid</cp:lastModifiedBy>
  <cp:revision>3</cp:revision>
  <cp:lastPrinted>2019-07-04T10:40:00Z</cp:lastPrinted>
  <dcterms:created xsi:type="dcterms:W3CDTF">2019-07-04T14:54:00Z</dcterms:created>
  <dcterms:modified xsi:type="dcterms:W3CDTF">2019-07-04T14:56:00Z</dcterms:modified>
</cp:coreProperties>
</file>