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142A" w14:textId="72028F52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13839130" w14:textId="6741302D" w:rsidR="0011147D" w:rsidRPr="00C80F4C" w:rsidRDefault="00510A05">
      <w:pPr>
        <w:rPr>
          <w:rFonts w:ascii="Arial" w:hAnsi="Arial" w:cs="Arial"/>
          <w:sz w:val="22"/>
          <w:szCs w:val="22"/>
          <w:lang w:val="en-US"/>
        </w:rPr>
      </w:pPr>
      <w:r w:rsidRPr="00C80F4C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381B1" wp14:editId="237F35DC">
                <wp:simplePos x="0" y="0"/>
                <wp:positionH relativeFrom="column">
                  <wp:posOffset>823595</wp:posOffset>
                </wp:positionH>
                <wp:positionV relativeFrom="paragraph">
                  <wp:posOffset>152400</wp:posOffset>
                </wp:positionV>
                <wp:extent cx="4419600" cy="44678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6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6510" w14:textId="693F5E8B" w:rsidR="00AB512E" w:rsidRPr="00C80F4C" w:rsidRDefault="00CB53C2" w:rsidP="008046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ДОБАВЛЕНИЕ</w:t>
                            </w:r>
                          </w:p>
                          <w:p w14:paraId="41602FCC" w14:textId="1B609335" w:rsidR="00CB53C2" w:rsidRPr="00C80F4C" w:rsidRDefault="00A175D5" w:rsidP="008046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C80F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МЕХАНИЗМЫ КООРДИНАЦИИ И ОСУЩЕСТВЛЕНИЯ НА ПЕРИОД ПОСЛЕ 2020 Г.</w:t>
                            </w:r>
                          </w:p>
                          <w:p w14:paraId="42006145" w14:textId="1E793F2A" w:rsidR="0011147D" w:rsidRPr="00C80F4C" w:rsidRDefault="0011147D" w:rsidP="00AB512E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В настоящем документе содержатся некоторые прогнозы и предложения в отношении координационных рамок и механизмов осуществления для Десятилетия ООН в период после 2020 г. и предлагаются пути содействия решению этих задач со стороны государств-членов и различных организаций. Этот документ подготовлен на основе </w:t>
                            </w:r>
                            <w:r w:rsidR="00C46D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дорожной карты</w:t>
                            </w:r>
                            <w:r w:rsidR="00C46D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для Десятилетия ООН, посвященного науке об океане в интересах устойчивого развития (2021-2030 гг.) (документы </w:t>
                            </w:r>
                            <w:hyperlink r:id="rId7" w:history="1">
                              <w:r w:rsidRPr="00C80F4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 xml:space="preserve">IOC/EC-LI/2 </w:t>
                              </w:r>
                              <w:proofErr w:type="spellStart"/>
                              <w:r w:rsidRPr="00C80F4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Annex</w:t>
                              </w:r>
                              <w:proofErr w:type="spellEnd"/>
                              <w:r w:rsidRPr="00C80F4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 xml:space="preserve"> 3</w:t>
                              </w:r>
                            </w:hyperlink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hyperlink r:id="rId8" w:history="1">
                              <w:proofErr w:type="spellStart"/>
                              <w:r w:rsidRPr="00C80F4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Corr</w:t>
                              </w:r>
                              <w:proofErr w:type="spellEnd"/>
                              <w:r w:rsidRPr="00C80F4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</w:hyperlink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), и обсуждений, состоявшихся на первом совещании Исполнительной группы планирования (серия документов Десятилетия ООН, №</w:t>
                            </w:r>
                            <w:r w:rsidR="00C46D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1).</w:t>
                            </w:r>
                          </w:p>
                          <w:p w14:paraId="23A06C39" w14:textId="14CE8ECC" w:rsidR="0011147D" w:rsidRPr="00C80F4C" w:rsidRDefault="00D23EBB" w:rsidP="00AB512E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Предлагаемые механизмы могут уточняться по мере доработки плана проведения Десятилетия, а также разработки Исполнительной группой планирования критериев одобрения мероприятий в рамках Десятилетия. Государствам-членам предлагается высказать свои мнения по предлагаемым координационным структурам. </w:t>
                            </w:r>
                          </w:p>
                          <w:p w14:paraId="3908C7A9" w14:textId="4A906AD4" w:rsidR="00CD32C8" w:rsidRPr="00C80F4C" w:rsidRDefault="00CD32C8" w:rsidP="006223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Предлагаемое решение: см. проект резолюции XXX/</w:t>
                            </w:r>
                            <w:proofErr w:type="gramStart"/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DR.(</w:t>
                            </w:r>
                            <w:proofErr w:type="gramEnd"/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4.1) в предварительном документе о принятых и предлагаемых мерах (IOC-XXX/2 </w:t>
                            </w:r>
                            <w:proofErr w:type="spellStart"/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Prov</w:t>
                            </w:r>
                            <w:proofErr w:type="spellEnd"/>
                            <w:r w:rsidRPr="00C80F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.) 30-й сессии Ассамблеи МОК.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8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85pt;margin-top:12pt;width:348pt;height:35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">
                <v:textbox>
                  <w:txbxContent>
                    <w:p w14:paraId="267C6510" w14:textId="693F5E8B" w:rsidR="00AB512E" w:rsidRPr="00C80F4C" w:rsidRDefault="00CB53C2" w:rsidP="008046B6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ru-RU"/>
                        </w:rPr>
                        <w:t>ДОБАВЛЕНИЕ</w:t>
                      </w:r>
                    </w:p>
                    <w:p w14:paraId="41602FCC" w14:textId="1B609335" w:rsidR="00CB53C2" w:rsidRPr="00C80F4C" w:rsidRDefault="00A175D5" w:rsidP="008046B6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C80F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</w:rPr>
                        <w:t>МЕХАНИЗМЫ КООРДИНАЦИИ И ОСУЩЕСТВЛЕНИЯ НА ПЕРИОД ПОСЛЕ 2020 Г.</w:t>
                      </w:r>
                    </w:p>
                    <w:p w14:paraId="42006145" w14:textId="1E793F2A" w:rsidR="0011147D" w:rsidRPr="00C80F4C" w:rsidRDefault="0011147D" w:rsidP="00AB512E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В настоящем документе содержатся некоторые прогнозы и предложения в отношении координационных рамок и механизмов осуществления для Десятилетия ООН в период после 2020 г. и предлагаются пути содействия решению этих задач со стороны государств-членов и различных организаций. Этот документ подготовлен на основе </w:t>
                      </w:r>
                      <w:r w:rsidR="00C46D4D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«</w:t>
                      </w: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дорожной карты</w:t>
                      </w:r>
                      <w:r w:rsidR="00C46D4D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»</w:t>
                      </w: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для Десятилетия ООН, посвященного науке об океане в интересах устойчивого развития (2021-2030 гг.) (документы </w:t>
                      </w:r>
                      <w:hyperlink r:id="rId9" w:history="1">
                        <w:r w:rsidRPr="00C80F4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 xml:space="preserve">IOC/EC-LI/2 </w:t>
                        </w:r>
                        <w:proofErr w:type="spellStart"/>
                        <w:r w:rsidRPr="00C80F4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Annex</w:t>
                        </w:r>
                        <w:proofErr w:type="spellEnd"/>
                        <w:r w:rsidRPr="00C80F4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 xml:space="preserve"> 3</w:t>
                        </w:r>
                      </w:hyperlink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hyperlink r:id="rId10" w:history="1">
                        <w:proofErr w:type="spellStart"/>
                        <w:r w:rsidRPr="00C80F4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Corr</w:t>
                        </w:r>
                        <w:proofErr w:type="spellEnd"/>
                        <w:r w:rsidRPr="00C80F4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.</w:t>
                        </w:r>
                      </w:hyperlink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), и обсуждений, состоявшихся на первом совещании Исполнительной группы планирования (серия документов Десятилетия ООН, №</w:t>
                      </w:r>
                      <w:r w:rsidR="00C46D4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1).</w:t>
                      </w:r>
                    </w:p>
                    <w:p w14:paraId="23A06C39" w14:textId="14CE8ECC" w:rsidR="0011147D" w:rsidRPr="00C80F4C" w:rsidRDefault="00D23EBB" w:rsidP="00AB512E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Предлагаемые механизмы могут уточняться по мере доработки плана проведения Десятилетия, а также разработки Исполнительной группой планирования критериев одобрения мероприятий в рамках Десятилетия. Государствам-членам предлагается высказать свои мнения по предлагаемым координационным структурам. </w:t>
                      </w:r>
                    </w:p>
                    <w:p w14:paraId="3908C7A9" w14:textId="4A906AD4" w:rsidR="00CD32C8" w:rsidRPr="00C80F4C" w:rsidRDefault="00CD32C8" w:rsidP="0062236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Предлагаемое решение: см. проект резолюции XXX/</w:t>
                      </w:r>
                      <w:proofErr w:type="gramStart"/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DR.(</w:t>
                      </w:r>
                      <w:proofErr w:type="gramEnd"/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4.1) в предварительном документе о принятых и предлагаемых мерах (IOC-XXX/2 </w:t>
                      </w:r>
                      <w:proofErr w:type="spellStart"/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Prov</w:t>
                      </w:r>
                      <w:proofErr w:type="spellEnd"/>
                      <w:r w:rsidRPr="00C80F4C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.) 30-й сессии Ассамблеи МОК.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590B7" w14:textId="0046A40F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</w:p>
    <w:p w14:paraId="086D91C1" w14:textId="5506AEAE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</w:p>
    <w:p w14:paraId="6E7D4159" w14:textId="3ECD024A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</w:p>
    <w:p w14:paraId="5640E1ED" w14:textId="533C518B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</w:p>
    <w:p w14:paraId="12281ED6" w14:textId="77777777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</w:p>
    <w:p w14:paraId="2833B423" w14:textId="77777777" w:rsidR="0011147D" w:rsidRPr="00C80F4C" w:rsidRDefault="0011147D">
      <w:pPr>
        <w:rPr>
          <w:rFonts w:ascii="Arial" w:hAnsi="Arial" w:cs="Arial"/>
          <w:sz w:val="22"/>
          <w:szCs w:val="22"/>
          <w:lang w:val="en-US"/>
        </w:rPr>
      </w:pPr>
    </w:p>
    <w:p w14:paraId="629265A0" w14:textId="77777777" w:rsidR="00D23EBB" w:rsidRPr="00C80F4C" w:rsidRDefault="00D23EBB">
      <w:pPr>
        <w:rPr>
          <w:rFonts w:ascii="Arial" w:hAnsi="Arial" w:cs="Arial"/>
          <w:sz w:val="22"/>
          <w:szCs w:val="22"/>
          <w:lang w:val="en-US"/>
        </w:rPr>
      </w:pPr>
    </w:p>
    <w:p w14:paraId="25518CD5" w14:textId="77777777" w:rsidR="00D23EBB" w:rsidRPr="00C80F4C" w:rsidRDefault="00D23EBB">
      <w:pPr>
        <w:rPr>
          <w:rFonts w:ascii="Arial" w:hAnsi="Arial" w:cs="Arial"/>
          <w:sz w:val="22"/>
          <w:szCs w:val="22"/>
          <w:lang w:val="en-US"/>
        </w:rPr>
      </w:pPr>
    </w:p>
    <w:p w14:paraId="44949BD3" w14:textId="77777777" w:rsidR="003775A8" w:rsidRPr="00C80F4C" w:rsidRDefault="003775A8">
      <w:pPr>
        <w:rPr>
          <w:rFonts w:ascii="Arial" w:hAnsi="Arial" w:cs="Arial"/>
          <w:sz w:val="22"/>
          <w:szCs w:val="22"/>
          <w:lang w:val="en-US"/>
        </w:rPr>
      </w:pPr>
    </w:p>
    <w:p w14:paraId="142ABC54" w14:textId="77777777" w:rsidR="003775A8" w:rsidRPr="00C80F4C" w:rsidRDefault="003775A8">
      <w:pPr>
        <w:rPr>
          <w:rFonts w:ascii="Arial" w:hAnsi="Arial" w:cs="Arial"/>
          <w:sz w:val="22"/>
          <w:szCs w:val="22"/>
          <w:lang w:val="en-US"/>
        </w:rPr>
      </w:pPr>
    </w:p>
    <w:p w14:paraId="4687B1B7" w14:textId="73BFE645" w:rsidR="009B6C46" w:rsidRPr="00C80F4C" w:rsidRDefault="009B6C46" w:rsidP="00A63B5E">
      <w:pPr>
        <w:rPr>
          <w:rFonts w:ascii="Arial" w:hAnsi="Arial" w:cs="Arial"/>
          <w:sz w:val="22"/>
          <w:szCs w:val="22"/>
          <w:lang w:val="en-US"/>
        </w:rPr>
      </w:pPr>
    </w:p>
    <w:p w14:paraId="23F1D636" w14:textId="5E4099AE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6F548CE9" w14:textId="57770AF4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0CEC28BB" w14:textId="3F750C43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08643A0A" w14:textId="733F7C26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658AC533" w14:textId="4C0DDF17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4B344CB9" w14:textId="65DCF647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68E0FCD3" w14:textId="0986DE05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1600206A" w14:textId="5D8C81F0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7261BD9C" w14:textId="77777777" w:rsidR="00AB512E" w:rsidRPr="00C80F4C" w:rsidRDefault="00AB512E" w:rsidP="00A63B5E">
      <w:pPr>
        <w:rPr>
          <w:rFonts w:ascii="Arial" w:hAnsi="Arial" w:cs="Arial"/>
          <w:sz w:val="22"/>
          <w:szCs w:val="22"/>
          <w:lang w:val="en-US"/>
        </w:rPr>
      </w:pPr>
    </w:p>
    <w:p w14:paraId="5EB99318" w14:textId="77777777" w:rsidR="009B6C46" w:rsidRPr="00C80F4C" w:rsidRDefault="009B6C46" w:rsidP="00A63B5E">
      <w:pPr>
        <w:rPr>
          <w:rFonts w:ascii="Arial" w:hAnsi="Arial" w:cs="Arial"/>
          <w:sz w:val="22"/>
          <w:szCs w:val="22"/>
          <w:lang w:val="en-US"/>
        </w:rPr>
      </w:pPr>
    </w:p>
    <w:p w14:paraId="104CE2DA" w14:textId="77777777" w:rsidR="009B6C46" w:rsidRPr="00C80F4C" w:rsidRDefault="009B6C46" w:rsidP="00A63B5E">
      <w:pPr>
        <w:rPr>
          <w:rFonts w:ascii="Arial" w:hAnsi="Arial" w:cs="Arial"/>
          <w:sz w:val="22"/>
          <w:szCs w:val="22"/>
          <w:lang w:val="en-US"/>
        </w:rPr>
      </w:pPr>
    </w:p>
    <w:p w14:paraId="70A78495" w14:textId="77777777" w:rsidR="00A63B5E" w:rsidRPr="00C80F4C" w:rsidRDefault="00A63B5E">
      <w:pPr>
        <w:rPr>
          <w:rFonts w:ascii="Arial" w:hAnsi="Arial" w:cs="Arial"/>
          <w:sz w:val="22"/>
          <w:szCs w:val="22"/>
          <w:lang w:val="en-US"/>
        </w:rPr>
      </w:pPr>
    </w:p>
    <w:p w14:paraId="65963B97" w14:textId="77777777" w:rsidR="003366B0" w:rsidRPr="00C80F4C" w:rsidRDefault="003366B0">
      <w:pPr>
        <w:rPr>
          <w:rFonts w:ascii="Arial" w:hAnsi="Arial" w:cs="Arial"/>
          <w:sz w:val="22"/>
          <w:szCs w:val="22"/>
          <w:lang w:val="en-US"/>
        </w:rPr>
      </w:pPr>
    </w:p>
    <w:p w14:paraId="4F790C9C" w14:textId="77777777" w:rsidR="00E332A0" w:rsidRPr="00C80F4C" w:rsidRDefault="00E332A0" w:rsidP="00A175D5">
      <w:pPr>
        <w:ind w:left="567" w:right="429"/>
        <w:rPr>
          <w:rFonts w:ascii="Arial" w:hAnsi="Arial" w:cs="Arial"/>
          <w:sz w:val="22"/>
          <w:szCs w:val="22"/>
          <w:lang w:val="en-US"/>
        </w:rPr>
      </w:pPr>
      <w:r w:rsidRPr="00C80F4C">
        <w:rPr>
          <w:rFonts w:ascii="Arial" w:hAnsi="Arial" w:cs="Arial"/>
          <w:sz w:val="22"/>
          <w:szCs w:val="22"/>
          <w:lang w:val="en-US"/>
        </w:rPr>
        <w:br w:type="page"/>
      </w:r>
    </w:p>
    <w:p w14:paraId="63CAE609" w14:textId="1FBEDCDC" w:rsidR="00E42DF7" w:rsidRPr="00C80F4C" w:rsidRDefault="0074441D" w:rsidP="00F03249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Arial" w:hAnsi="Arial" w:cs="Arial"/>
          <w:b/>
          <w:i/>
        </w:rPr>
      </w:pPr>
      <w:r w:rsidRPr="00C80F4C">
        <w:rPr>
          <w:rFonts w:ascii="Arial" w:hAnsi="Arial" w:cs="Arial"/>
          <w:b/>
          <w:bCs/>
          <w:lang w:val="ru-RU"/>
        </w:rPr>
        <w:lastRenderedPageBreak/>
        <w:t>КООРДИНАЦИОННЫЕ РАМКИ</w:t>
      </w:r>
    </w:p>
    <w:p w14:paraId="57443C81" w14:textId="782B9F30" w:rsidR="00C0508F" w:rsidRPr="00C80F4C" w:rsidRDefault="001D06C8" w:rsidP="0062236B">
      <w:p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C80F4C">
        <w:rPr>
          <w:rFonts w:ascii="Arial" w:hAnsi="Arial" w:cs="Arial"/>
          <w:b/>
          <w:bCs/>
          <w:u w:val="single"/>
          <w:lang w:val="ru-RU"/>
        </w:rPr>
        <w:t>История вопроса</w:t>
      </w:r>
    </w:p>
    <w:p w14:paraId="124734AF" w14:textId="77E560FF" w:rsidR="00C57A79" w:rsidRPr="00C80F4C" w:rsidRDefault="00C57A79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На своей 72-й сессии Генеральная Ассамблея Организации Объединенных Наций (ГА ООН) в сводной резолюции по Мировому океану и морскому праву (</w:t>
      </w:r>
      <w:hyperlink r:id="rId11" w:history="1">
        <w:r w:rsidRPr="00C80F4C">
          <w:rPr>
            <w:rStyle w:val="Hyperlink"/>
            <w:rFonts w:ascii="Arial" w:hAnsi="Arial" w:cs="Arial"/>
            <w:lang w:val="ru-RU"/>
          </w:rPr>
          <w:t>резолюция 72/73</w:t>
        </w:r>
      </w:hyperlink>
      <w:r w:rsidRPr="00C80F4C">
        <w:rPr>
          <w:rFonts w:ascii="Arial" w:hAnsi="Arial" w:cs="Arial"/>
          <w:lang w:val="ru-RU"/>
        </w:rPr>
        <w:t>, часть</w:t>
      </w:r>
      <w:r w:rsidR="00B406B9">
        <w:rPr>
          <w:rFonts w:ascii="Arial" w:hAnsi="Arial" w:cs="Arial"/>
        </w:rPr>
        <w:t> </w:t>
      </w:r>
      <w:r w:rsidRPr="00C80F4C">
        <w:rPr>
          <w:rFonts w:ascii="Arial" w:hAnsi="Arial" w:cs="Arial"/>
          <w:lang w:val="ru-RU"/>
        </w:rPr>
        <w:t xml:space="preserve">XI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Морская наука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>, пункт 292) постановила:</w:t>
      </w:r>
    </w:p>
    <w:p w14:paraId="50BCDAA4" w14:textId="7A5BF322" w:rsidR="00C57A79" w:rsidRPr="00B406B9" w:rsidRDefault="00635931" w:rsidP="0062236B">
      <w:pPr>
        <w:spacing w:after="240"/>
        <w:ind w:left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B406B9">
        <w:rPr>
          <w:rFonts w:ascii="Arial" w:hAnsi="Arial" w:cs="Arial"/>
          <w:i/>
          <w:sz w:val="22"/>
          <w:szCs w:val="22"/>
          <w:lang w:val="ru-RU"/>
        </w:rPr>
        <w:t>(...) провозгласить 10-летний период, начинающийся 1 января 2021 года, Десятилетием Организации Объединенных Наций, посвященным науке об океане в интересах устойчивого развития, которое будет проводиться в рамках существующих структур и имеющихся ресурсов, и призвать Межправительственную океанографическую комиссию подготовить план проведения этого Десятилетия в консультации с государствами-членами, специализированными учреждениями, фондами, программами и органами Организации Объединенных Наций, а также другими межправительственными организациями, неправительственными организациями и соответствующими заинтересованными сторонами.</w:t>
      </w:r>
    </w:p>
    <w:p w14:paraId="7D533B15" w14:textId="77777777" w:rsidR="00C57A79" w:rsidRPr="00C80F4C" w:rsidRDefault="00C57A79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Кроме того, ГА ООН:</w:t>
      </w:r>
    </w:p>
    <w:p w14:paraId="7D0E92E1" w14:textId="68B53EDD" w:rsidR="00C57A79" w:rsidRPr="00B406B9" w:rsidRDefault="00C57A79" w:rsidP="00F03249">
      <w:pPr>
        <w:tabs>
          <w:tab w:val="left" w:pos="1134"/>
        </w:tabs>
        <w:spacing w:after="240"/>
        <w:ind w:left="1134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B406B9">
        <w:rPr>
          <w:rFonts w:ascii="Arial" w:hAnsi="Arial" w:cs="Arial"/>
          <w:sz w:val="22"/>
          <w:szCs w:val="22"/>
          <w:lang w:val="ru-RU"/>
        </w:rPr>
        <w:t>-</w:t>
      </w:r>
      <w:r w:rsidRPr="00B406B9">
        <w:rPr>
          <w:rFonts w:ascii="Arial" w:hAnsi="Arial" w:cs="Arial"/>
          <w:sz w:val="22"/>
          <w:szCs w:val="22"/>
          <w:lang w:val="ru-RU"/>
        </w:rPr>
        <w:tab/>
        <w:t xml:space="preserve">просила Межправительственную океанографическую комиссию информировать о составлении плана проведения Десятилетия Организации Объединенных Наций, посвященного науке об океане в интересах устойчивого развития (именуемого далее </w:t>
      </w:r>
      <w:r w:rsidR="00C46D4D" w:rsidRPr="00B406B9">
        <w:rPr>
          <w:rFonts w:ascii="Arial" w:hAnsi="Arial" w:cs="Arial"/>
          <w:sz w:val="22"/>
          <w:szCs w:val="22"/>
          <w:lang w:val="ru-RU"/>
        </w:rPr>
        <w:t>«</w:t>
      </w:r>
      <w:r w:rsidRPr="00B406B9">
        <w:rPr>
          <w:rFonts w:ascii="Arial" w:hAnsi="Arial" w:cs="Arial"/>
          <w:sz w:val="22"/>
          <w:szCs w:val="22"/>
          <w:lang w:val="ru-RU"/>
        </w:rPr>
        <w:t>Десятилетие</w:t>
      </w:r>
      <w:r w:rsidR="00C46D4D" w:rsidRPr="00B406B9">
        <w:rPr>
          <w:rFonts w:ascii="Arial" w:hAnsi="Arial" w:cs="Arial"/>
          <w:sz w:val="22"/>
          <w:szCs w:val="22"/>
          <w:lang w:val="ru-RU"/>
        </w:rPr>
        <w:t>»</w:t>
      </w:r>
      <w:r w:rsidRPr="00B406B9">
        <w:rPr>
          <w:rFonts w:ascii="Arial" w:hAnsi="Arial" w:cs="Arial"/>
          <w:sz w:val="22"/>
          <w:szCs w:val="22"/>
          <w:lang w:val="ru-RU"/>
        </w:rPr>
        <w:t>, а также регулярно консультироваться с государствами-членами и отчитываться перед ними по вопросам, касающимся Десятилетия и его проведения;</w:t>
      </w:r>
    </w:p>
    <w:p w14:paraId="3325C47D" w14:textId="5E5DD51C" w:rsidR="00C57A79" w:rsidRPr="00B406B9" w:rsidRDefault="00C57A79" w:rsidP="00F03249">
      <w:pPr>
        <w:tabs>
          <w:tab w:val="left" w:pos="1134"/>
        </w:tabs>
        <w:spacing w:after="240"/>
        <w:ind w:left="1134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B406B9">
        <w:rPr>
          <w:rFonts w:ascii="Arial" w:hAnsi="Arial" w:cs="Arial"/>
          <w:sz w:val="22"/>
          <w:szCs w:val="22"/>
          <w:lang w:val="ru-RU"/>
        </w:rPr>
        <w:t>-</w:t>
      </w:r>
      <w:r w:rsidRPr="00B406B9">
        <w:rPr>
          <w:rFonts w:ascii="Arial" w:hAnsi="Arial" w:cs="Arial"/>
          <w:sz w:val="22"/>
          <w:szCs w:val="22"/>
          <w:lang w:val="ru-RU"/>
        </w:rPr>
        <w:tab/>
        <w:t>предложила Генеральному секретарю сообщать Генеральной Ассамблее о проведении Десятилетия в своем докладе о Мировом океане и морском праве, опираясь на информацию, предоставляемую Межправительственной океанографической комиссией;</w:t>
      </w:r>
    </w:p>
    <w:p w14:paraId="6BD4B03F" w14:textId="2D681D37" w:rsidR="00C57A79" w:rsidRPr="00B406B9" w:rsidRDefault="00C57A79" w:rsidP="00F03249">
      <w:pPr>
        <w:tabs>
          <w:tab w:val="left" w:pos="1134"/>
        </w:tabs>
        <w:spacing w:after="240"/>
        <w:ind w:left="1134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B406B9">
        <w:rPr>
          <w:rFonts w:ascii="Arial" w:hAnsi="Arial" w:cs="Arial"/>
          <w:sz w:val="22"/>
          <w:szCs w:val="22"/>
          <w:lang w:val="ru-RU"/>
        </w:rPr>
        <w:t>-</w:t>
      </w:r>
      <w:r w:rsidRPr="00B406B9">
        <w:rPr>
          <w:rFonts w:ascii="Arial" w:hAnsi="Arial" w:cs="Arial"/>
          <w:sz w:val="22"/>
          <w:szCs w:val="22"/>
          <w:lang w:val="ru-RU"/>
        </w:rPr>
        <w:tab/>
        <w:t xml:space="preserve">предложила сети </w:t>
      </w:r>
      <w:r w:rsidR="00C46D4D" w:rsidRPr="00B406B9">
        <w:rPr>
          <w:rFonts w:ascii="Arial" w:hAnsi="Arial" w:cs="Arial"/>
          <w:sz w:val="22"/>
          <w:szCs w:val="22"/>
          <w:lang w:val="ru-RU"/>
        </w:rPr>
        <w:t>«</w:t>
      </w:r>
      <w:r w:rsidRPr="00B406B9">
        <w:rPr>
          <w:rFonts w:ascii="Arial" w:hAnsi="Arial" w:cs="Arial"/>
          <w:sz w:val="22"/>
          <w:szCs w:val="22"/>
          <w:lang w:val="ru-RU"/>
        </w:rPr>
        <w:t>ООН-океаны</w:t>
      </w:r>
      <w:r w:rsidR="00C46D4D" w:rsidRPr="00B406B9">
        <w:rPr>
          <w:rFonts w:ascii="Arial" w:hAnsi="Arial" w:cs="Arial"/>
          <w:sz w:val="22"/>
          <w:szCs w:val="22"/>
          <w:lang w:val="ru-RU"/>
        </w:rPr>
        <w:t>»</w:t>
      </w:r>
      <w:r w:rsidRPr="00B406B9">
        <w:rPr>
          <w:rFonts w:ascii="Arial" w:hAnsi="Arial" w:cs="Arial"/>
          <w:sz w:val="22"/>
          <w:szCs w:val="22"/>
          <w:lang w:val="ru-RU"/>
        </w:rPr>
        <w:t xml:space="preserve"> и ее участникам сотрудничать с Межправительственной океанографической комиссией в деле проведения Десятилетия.</w:t>
      </w:r>
    </w:p>
    <w:p w14:paraId="5EDA496E" w14:textId="736029E7" w:rsidR="00E765E0" w:rsidRPr="00C80F4C" w:rsidRDefault="0087308D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 xml:space="preserve">Исполнительный совет МОК на своей 51-й сессии учредил Исполнительную группу планирования (ИГП), которая в настоящее время осуществляет надзор за разработкой плана проведения Десятилетия. Ожидается, что ИГП завершит свою работу в конце 2020 г. </w:t>
      </w:r>
    </w:p>
    <w:p w14:paraId="18C4172E" w14:textId="2D1733D0" w:rsidR="00C57A79" w:rsidRPr="00C80F4C" w:rsidRDefault="00DA4422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Предполагается</w:t>
      </w:r>
      <w:r w:rsidR="0089243D" w:rsidRPr="00C80F4C">
        <w:rPr>
          <w:rFonts w:ascii="Arial" w:hAnsi="Arial" w:cs="Arial"/>
          <w:lang w:val="ru-RU"/>
        </w:rPr>
        <w:t>, что после принятия плана проведения будет введен в действие механизм среднесрочного управления проведением Десятилетия.</w:t>
      </w:r>
    </w:p>
    <w:p w14:paraId="35B9FAD5" w14:textId="74790D57" w:rsidR="00C57A79" w:rsidRPr="00B406B9" w:rsidRDefault="0087308D" w:rsidP="00F03249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Координационные структуры Десятилетия</w:t>
      </w:r>
    </w:p>
    <w:p w14:paraId="1E3D1E69" w14:textId="5D0A3CDC" w:rsidR="003E2215" w:rsidRPr="00C80F4C" w:rsidRDefault="003E2215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Представленное ниже описание структур предполагает использование подхода и терминологии, касающихся управления проектами, программами и портфелями, однако оно не является обязательным. В качестве альтернативы можно было бы предусмотреть ряд менее тесно связанных между собой мероприятий, осуществляемых </w:t>
      </w:r>
      <w:r w:rsidR="0004148A" w:rsidRPr="00C80F4C">
        <w:rPr>
          <w:rFonts w:ascii="Arial" w:hAnsi="Arial" w:cs="Arial"/>
          <w:lang w:val="ru-RU"/>
        </w:rPr>
        <w:t xml:space="preserve">на основе </w:t>
      </w:r>
      <w:r w:rsidRPr="00C80F4C">
        <w:rPr>
          <w:rFonts w:ascii="Arial" w:hAnsi="Arial" w:cs="Arial"/>
          <w:lang w:val="ru-RU"/>
        </w:rPr>
        <w:t xml:space="preserve">существующих механизмов </w:t>
      </w:r>
      <w:r w:rsidR="0004148A">
        <w:rPr>
          <w:rFonts w:ascii="Arial" w:hAnsi="Arial" w:cs="Arial"/>
          <w:lang w:val="fr-FR"/>
        </w:rPr>
        <w:t>c</w:t>
      </w:r>
      <w:r w:rsidR="0004148A" w:rsidRPr="00C46D4D">
        <w:rPr>
          <w:rFonts w:ascii="Arial" w:hAnsi="Arial" w:cs="Arial"/>
          <w:lang w:val="ru-RU"/>
        </w:rPr>
        <w:t xml:space="preserve"> </w:t>
      </w:r>
      <w:r w:rsidRPr="00C80F4C">
        <w:rPr>
          <w:rFonts w:ascii="Arial" w:hAnsi="Arial" w:cs="Arial"/>
          <w:lang w:val="ru-RU"/>
        </w:rPr>
        <w:t>общей координаци</w:t>
      </w:r>
      <w:r w:rsidR="0004148A">
        <w:rPr>
          <w:rFonts w:ascii="Arial" w:hAnsi="Arial" w:cs="Arial"/>
          <w:lang w:val="ru-RU"/>
        </w:rPr>
        <w:t>ей</w:t>
      </w:r>
      <w:r w:rsidRPr="00C80F4C">
        <w:rPr>
          <w:rFonts w:ascii="Arial" w:hAnsi="Arial" w:cs="Arial"/>
          <w:lang w:val="ru-RU"/>
        </w:rPr>
        <w:t xml:space="preserve"> в интересах Десятилетия. В отличие от описанной ниже структуры управления при выборе такой альтернативы ведущую роль можно было бы поручить группе координации Десятилетия или аналогичному органу, а конечная ответственность возлагалась бы на существующие механизмы.</w:t>
      </w:r>
    </w:p>
    <w:p w14:paraId="4444E7BB" w14:textId="35A4A0CC" w:rsidR="000F0BA2" w:rsidRPr="00C80F4C" w:rsidRDefault="001D360B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hyperlink w:anchor="fig_1" w:history="1">
        <w:r w:rsidR="000472B7" w:rsidRPr="00C80F4C">
          <w:rPr>
            <w:rStyle w:val="Hyperlink"/>
            <w:rFonts w:ascii="Arial" w:hAnsi="Arial" w:cs="Arial"/>
            <w:lang w:val="ru-RU"/>
          </w:rPr>
          <w:t>На рисунке</w:t>
        </w:r>
        <w:r w:rsidR="000472B7" w:rsidRPr="00C80F4C">
          <w:rPr>
            <w:rStyle w:val="Hyperlink"/>
            <w:rFonts w:ascii="Arial" w:hAnsi="Arial" w:cs="Arial"/>
          </w:rPr>
          <w:t> </w:t>
        </w:r>
        <w:r w:rsidR="000472B7" w:rsidRPr="00C80F4C">
          <w:rPr>
            <w:rStyle w:val="Hyperlink"/>
            <w:rFonts w:ascii="Arial" w:hAnsi="Arial" w:cs="Arial"/>
            <w:lang w:val="ru-RU"/>
          </w:rPr>
          <w:t>1</w:t>
        </w:r>
      </w:hyperlink>
      <w:r w:rsidR="000472B7" w:rsidRPr="00C80F4C">
        <w:rPr>
          <w:rFonts w:ascii="Arial" w:hAnsi="Arial" w:cs="Arial"/>
          <w:lang w:val="ru-RU"/>
        </w:rPr>
        <w:t xml:space="preserve"> </w:t>
      </w:r>
      <w:r w:rsidR="009E4E0F" w:rsidRPr="00C80F4C">
        <w:rPr>
          <w:rFonts w:ascii="Arial" w:hAnsi="Arial" w:cs="Arial"/>
          <w:lang w:val="ru-RU"/>
        </w:rPr>
        <w:t xml:space="preserve">ниже представлена схема предлагаемой структуры управления проведением Десятилетия и его мероприятий. В </w:t>
      </w:r>
      <w:r w:rsidR="00C46D4D">
        <w:rPr>
          <w:rFonts w:ascii="Arial" w:hAnsi="Arial" w:cs="Arial"/>
          <w:lang w:val="ru-RU"/>
        </w:rPr>
        <w:t>«</w:t>
      </w:r>
      <w:r w:rsidR="009E4E0F" w:rsidRPr="00C80F4C">
        <w:rPr>
          <w:rFonts w:ascii="Arial" w:hAnsi="Arial" w:cs="Arial"/>
          <w:lang w:val="ru-RU"/>
        </w:rPr>
        <w:t>дорожной карте</w:t>
      </w:r>
      <w:r w:rsidR="00C46D4D">
        <w:rPr>
          <w:rFonts w:ascii="Arial" w:hAnsi="Arial" w:cs="Arial"/>
          <w:lang w:val="ru-RU"/>
        </w:rPr>
        <w:t>»</w:t>
      </w:r>
      <w:r w:rsidR="009E4E0F" w:rsidRPr="00C80F4C">
        <w:rPr>
          <w:rFonts w:ascii="Arial" w:hAnsi="Arial" w:cs="Arial"/>
          <w:lang w:val="ru-RU"/>
        </w:rPr>
        <w:t xml:space="preserve"> Десятилетия (документы </w:t>
      </w:r>
      <w:hyperlink r:id="rId12" w:history="1">
        <w:r w:rsidR="009E4E0F" w:rsidRPr="00C80F4C">
          <w:rPr>
            <w:rStyle w:val="Hyperlink"/>
            <w:rFonts w:ascii="Arial" w:hAnsi="Arial" w:cs="Arial"/>
            <w:lang w:val="ru-RU"/>
          </w:rPr>
          <w:t xml:space="preserve">IOC/EC-LI/2 </w:t>
        </w:r>
        <w:proofErr w:type="spellStart"/>
        <w:r w:rsidR="009E4E0F" w:rsidRPr="00C80F4C">
          <w:rPr>
            <w:rStyle w:val="Hyperlink"/>
            <w:rFonts w:ascii="Arial" w:hAnsi="Arial" w:cs="Arial"/>
            <w:lang w:val="ru-RU"/>
          </w:rPr>
          <w:t>Annex</w:t>
        </w:r>
        <w:proofErr w:type="spellEnd"/>
        <w:r w:rsidR="009E4E0F" w:rsidRPr="00C80F4C">
          <w:rPr>
            <w:rStyle w:val="Hyperlink"/>
            <w:rFonts w:ascii="Arial" w:hAnsi="Arial" w:cs="Arial"/>
            <w:lang w:val="ru-RU"/>
          </w:rPr>
          <w:t xml:space="preserve"> 3</w:t>
        </w:r>
      </w:hyperlink>
      <w:r w:rsidR="009E4E0F" w:rsidRPr="00C80F4C">
        <w:rPr>
          <w:rFonts w:ascii="Arial" w:hAnsi="Arial" w:cs="Arial"/>
          <w:lang w:val="ru-RU"/>
        </w:rPr>
        <w:t xml:space="preserve"> и </w:t>
      </w:r>
      <w:proofErr w:type="spellStart"/>
      <w:r w:rsidR="009E4E0F" w:rsidRPr="00C80F4C">
        <w:rPr>
          <w:rFonts w:ascii="Arial" w:hAnsi="Arial" w:cs="Arial"/>
          <w:lang w:val="ru-RU"/>
        </w:rPr>
        <w:t>Corr</w:t>
      </w:r>
      <w:proofErr w:type="spellEnd"/>
      <w:r w:rsidR="009E4E0F" w:rsidRPr="00C80F4C">
        <w:rPr>
          <w:rFonts w:ascii="Arial" w:hAnsi="Arial" w:cs="Arial"/>
          <w:lang w:val="ru-RU"/>
        </w:rPr>
        <w:t xml:space="preserve">.) </w:t>
      </w:r>
      <w:r w:rsidR="000472B7" w:rsidRPr="00C80F4C">
        <w:rPr>
          <w:rFonts w:ascii="Arial" w:hAnsi="Arial" w:cs="Arial"/>
          <w:lang w:val="ru-RU"/>
        </w:rPr>
        <w:t xml:space="preserve">предусмотрена разработка </w:t>
      </w:r>
      <w:r w:rsidR="009E4E0F" w:rsidRPr="00C80F4C">
        <w:rPr>
          <w:rFonts w:ascii="Arial" w:hAnsi="Arial" w:cs="Arial"/>
          <w:lang w:val="ru-RU"/>
        </w:rPr>
        <w:t>научн</w:t>
      </w:r>
      <w:r w:rsidR="000472B7" w:rsidRPr="00C80F4C">
        <w:rPr>
          <w:rFonts w:ascii="Arial" w:hAnsi="Arial" w:cs="Arial"/>
          <w:lang w:val="ru-RU"/>
        </w:rPr>
        <w:t>ого</w:t>
      </w:r>
      <w:r w:rsidR="009E4E0F" w:rsidRPr="00C80F4C">
        <w:rPr>
          <w:rFonts w:ascii="Arial" w:hAnsi="Arial" w:cs="Arial"/>
          <w:lang w:val="ru-RU"/>
        </w:rPr>
        <w:t xml:space="preserve"> план</w:t>
      </w:r>
      <w:r w:rsidR="000472B7" w:rsidRPr="00C80F4C">
        <w:rPr>
          <w:rFonts w:ascii="Arial" w:hAnsi="Arial" w:cs="Arial"/>
          <w:lang w:val="ru-RU"/>
        </w:rPr>
        <w:t xml:space="preserve">а высокого уровня с </w:t>
      </w:r>
      <w:r w:rsidR="009E4E0F" w:rsidRPr="00C80F4C">
        <w:rPr>
          <w:rFonts w:ascii="Arial" w:hAnsi="Arial" w:cs="Arial"/>
          <w:lang w:val="ru-RU"/>
        </w:rPr>
        <w:t>определен</w:t>
      </w:r>
      <w:r w:rsidR="000472B7" w:rsidRPr="00C80F4C">
        <w:rPr>
          <w:rFonts w:ascii="Arial" w:hAnsi="Arial" w:cs="Arial"/>
          <w:lang w:val="ru-RU"/>
        </w:rPr>
        <w:t>ием</w:t>
      </w:r>
      <w:r w:rsidR="009E4E0F" w:rsidRPr="00C80F4C">
        <w:rPr>
          <w:rFonts w:ascii="Arial" w:hAnsi="Arial" w:cs="Arial"/>
          <w:lang w:val="ru-RU"/>
        </w:rPr>
        <w:t xml:space="preserve"> ключевы</w:t>
      </w:r>
      <w:r w:rsidR="000472B7" w:rsidRPr="00C80F4C">
        <w:rPr>
          <w:rFonts w:ascii="Arial" w:hAnsi="Arial" w:cs="Arial"/>
          <w:lang w:val="ru-RU"/>
        </w:rPr>
        <w:t>х</w:t>
      </w:r>
      <w:r w:rsidR="009E4E0F" w:rsidRPr="00C80F4C">
        <w:rPr>
          <w:rFonts w:ascii="Arial" w:hAnsi="Arial" w:cs="Arial"/>
          <w:lang w:val="ru-RU"/>
        </w:rPr>
        <w:t xml:space="preserve"> научны</w:t>
      </w:r>
      <w:r w:rsidR="000472B7" w:rsidRPr="00C80F4C">
        <w:rPr>
          <w:rFonts w:ascii="Arial" w:hAnsi="Arial" w:cs="Arial"/>
          <w:lang w:val="ru-RU"/>
        </w:rPr>
        <w:t>х</w:t>
      </w:r>
      <w:r w:rsidR="009E4E0F" w:rsidRPr="00C80F4C">
        <w:rPr>
          <w:rFonts w:ascii="Arial" w:hAnsi="Arial" w:cs="Arial"/>
          <w:lang w:val="ru-RU"/>
        </w:rPr>
        <w:t xml:space="preserve"> вопрос</w:t>
      </w:r>
      <w:r w:rsidR="000472B7" w:rsidRPr="00C80F4C">
        <w:rPr>
          <w:rFonts w:ascii="Arial" w:hAnsi="Arial" w:cs="Arial"/>
          <w:lang w:val="ru-RU"/>
        </w:rPr>
        <w:t>ов</w:t>
      </w:r>
      <w:r w:rsidR="009E4E0F" w:rsidRPr="00C80F4C">
        <w:rPr>
          <w:rFonts w:ascii="Arial" w:hAnsi="Arial" w:cs="Arial"/>
          <w:lang w:val="ru-RU"/>
        </w:rPr>
        <w:t xml:space="preserve"> и пробел</w:t>
      </w:r>
      <w:r w:rsidR="000472B7" w:rsidRPr="00C80F4C">
        <w:rPr>
          <w:rFonts w:ascii="Arial" w:hAnsi="Arial" w:cs="Arial"/>
          <w:lang w:val="ru-RU"/>
        </w:rPr>
        <w:t>ов</w:t>
      </w:r>
      <w:r w:rsidR="009E4E0F" w:rsidRPr="00C80F4C">
        <w:rPr>
          <w:rFonts w:ascii="Arial" w:hAnsi="Arial" w:cs="Arial"/>
          <w:lang w:val="ru-RU"/>
        </w:rPr>
        <w:t xml:space="preserve"> в знаниях, на которые </w:t>
      </w:r>
      <w:r w:rsidR="003707F1" w:rsidRPr="00C80F4C">
        <w:rPr>
          <w:rFonts w:ascii="Arial" w:hAnsi="Arial" w:cs="Arial"/>
          <w:lang w:val="ru-RU"/>
        </w:rPr>
        <w:t xml:space="preserve">в рамках Десятилетия </w:t>
      </w:r>
      <w:r w:rsidR="009E4E0F" w:rsidRPr="00C80F4C">
        <w:rPr>
          <w:rFonts w:ascii="Arial" w:hAnsi="Arial" w:cs="Arial"/>
          <w:lang w:val="ru-RU"/>
        </w:rPr>
        <w:lastRenderedPageBreak/>
        <w:t xml:space="preserve">необходимо дать ответ с помощью различных программных элементов. Портфельный уровень – это уровень непосредственно инициативы, которой в данном случае является само Десятилетие. Портфель в основном будет состоять из программ работы, но может также включать конкретные целевые проекты. </w:t>
      </w:r>
    </w:p>
    <w:p w14:paraId="29C47039" w14:textId="68372DC7" w:rsidR="002574E3" w:rsidRDefault="003E2215" w:rsidP="00F03249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36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На следующем уровне происходит разбивка инициативы на небольшое число программ, например, касающихся научных исследований или создания потенциала и подготовки специалистов. В идеале программы должны быть сопоставимы по масштабу, который при этом может варьироваться в зависимости от рисков и с учетом пожеланий относительно наглядного отражения определенных областей в рамках Десятилетия на уровне портфеля/инициативы. </w:t>
      </w:r>
      <w:r w:rsidR="000472B7" w:rsidRPr="00C80F4C">
        <w:rPr>
          <w:rFonts w:ascii="Arial" w:hAnsi="Arial" w:cs="Arial"/>
          <w:lang w:val="ru-RU"/>
        </w:rPr>
        <w:t>Последний уровень – это уровень проектов, которые</w:t>
      </w:r>
      <w:r w:rsidRPr="00C80F4C">
        <w:rPr>
          <w:rFonts w:ascii="Arial" w:hAnsi="Arial" w:cs="Arial"/>
          <w:lang w:val="ru-RU"/>
        </w:rPr>
        <w:t xml:space="preserve"> будут различаться по масштабу, продолжительности, сложности</w:t>
      </w:r>
      <w:r w:rsidR="008716CB">
        <w:rPr>
          <w:rFonts w:ascii="Arial" w:hAnsi="Arial" w:cs="Arial"/>
          <w:lang w:val="ru-RU"/>
        </w:rPr>
        <w:t>, связанным с ними задачам и т.</w:t>
      </w:r>
      <w:r w:rsidRPr="00C80F4C">
        <w:rPr>
          <w:rFonts w:ascii="Arial" w:hAnsi="Arial" w:cs="Arial"/>
          <w:lang w:val="ru-RU"/>
        </w:rPr>
        <w:t xml:space="preserve">д. </w:t>
      </w:r>
    </w:p>
    <w:p w14:paraId="2419930B" w14:textId="3EB1CC47" w:rsidR="00F03249" w:rsidRPr="00C80F4C" w:rsidRDefault="00F03249" w:rsidP="00A5290B">
      <w:pPr>
        <w:pStyle w:val="ListParagraph"/>
        <w:tabs>
          <w:tab w:val="left" w:pos="0"/>
          <w:tab w:val="left" w:pos="720"/>
          <w:tab w:val="left" w:pos="810"/>
        </w:tabs>
        <w:snapToGrid w:val="0"/>
        <w:spacing w:after="360" w:line="240" w:lineRule="auto"/>
        <w:ind w:left="0"/>
        <w:contextualSpacing w:val="0"/>
        <w:jc w:val="both"/>
        <w:rPr>
          <w:rFonts w:ascii="Arial" w:hAnsi="Arial" w:cs="Arial"/>
          <w:lang w:val="ru-RU"/>
        </w:rPr>
      </w:pPr>
      <w:r w:rsidRPr="00F03249">
        <w:rPr>
          <w:rFonts w:ascii="Arial" w:hAnsi="Arial" w:cs="Arial"/>
          <w:noProof/>
        </w:rPr>
        <w:drawing>
          <wp:inline distT="0" distB="0" distL="0" distR="0" wp14:anchorId="45F69AAE" wp14:editId="27D59CC5">
            <wp:extent cx="6287697" cy="35368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9524" cy="35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A4DD" w14:textId="3C297C6A" w:rsidR="00DD0C39" w:rsidRPr="00B406B9" w:rsidRDefault="002574E3" w:rsidP="00A5290B">
      <w:pPr>
        <w:kinsoku w:val="0"/>
        <w:overflowPunct w:val="0"/>
        <w:autoSpaceDE w:val="0"/>
        <w:autoSpaceDN w:val="0"/>
        <w:adjustRightInd w:val="0"/>
        <w:spacing w:before="120" w:after="360"/>
        <w:ind w:left="448"/>
        <w:jc w:val="center"/>
        <w:rPr>
          <w:rFonts w:ascii="Arial" w:hAnsi="Arial" w:cs="Arial"/>
          <w:sz w:val="20"/>
          <w:szCs w:val="20"/>
          <w:lang w:val="ru-RU"/>
        </w:rPr>
      </w:pPr>
      <w:bookmarkStart w:id="1" w:name="fig_1"/>
      <w:r w:rsidRPr="00B406B9">
        <w:rPr>
          <w:rFonts w:ascii="Arial" w:hAnsi="Arial" w:cs="Arial"/>
          <w:sz w:val="20"/>
          <w:szCs w:val="20"/>
          <w:u w:val="single"/>
          <w:lang w:val="ru-RU"/>
        </w:rPr>
        <w:t>Рисунок 1</w:t>
      </w:r>
      <w:r w:rsidRPr="00F03249">
        <w:rPr>
          <w:rFonts w:ascii="Arial" w:hAnsi="Arial" w:cs="Arial"/>
          <w:sz w:val="20"/>
          <w:szCs w:val="20"/>
          <w:lang w:val="ru-RU"/>
        </w:rPr>
        <w:t>.</w:t>
      </w:r>
      <w:r w:rsidRPr="00B406B9">
        <w:rPr>
          <w:rFonts w:ascii="Arial" w:hAnsi="Arial" w:cs="Arial"/>
          <w:sz w:val="20"/>
          <w:szCs w:val="20"/>
          <w:lang w:val="ru-RU"/>
        </w:rPr>
        <w:t xml:space="preserve"> Структура Десятилетия и его координационные механизмы</w:t>
      </w:r>
      <w:bookmarkEnd w:id="1"/>
    </w:p>
    <w:p w14:paraId="2F7D4705" w14:textId="3C4A9702" w:rsidR="00D42B1A" w:rsidRPr="00C80F4C" w:rsidRDefault="002A48A7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Ожидается предоставление поддержки и взносов, в том числе со стороны других межправительственных органов ООН и других организаций, неправительственных организаций, включая частный сектор, а также в рамках регионального и национального сотрудничества. Инициативы Десятилетия должны разрабатываться с опорой в соответствующих случаях на существующие системы и структуры, при этом особое внимание следует уделять координации и эффективности.</w:t>
      </w:r>
    </w:p>
    <w:p w14:paraId="28DE66BB" w14:textId="2926BD17" w:rsidR="003E2215" w:rsidRPr="004879D7" w:rsidRDefault="003E2215" w:rsidP="00A65838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4879D7">
        <w:rPr>
          <w:rFonts w:ascii="Arial" w:hAnsi="Arial" w:cs="Arial"/>
          <w:lang w:val="ru-RU"/>
        </w:rPr>
        <w:t>В таблице 1 перечислены органы, которые могут потребоваться для управления такой структурой.</w:t>
      </w:r>
      <w:r w:rsidR="004879D7" w:rsidRPr="004879D7">
        <w:rPr>
          <w:rFonts w:ascii="Arial" w:hAnsi="Arial" w:cs="Arial"/>
          <w:lang w:val="ru-RU"/>
        </w:rPr>
        <w:br w:type="page"/>
      </w:r>
    </w:p>
    <w:tbl>
      <w:tblPr>
        <w:tblpPr w:leftFromText="180" w:rightFromText="180" w:vertAnchor="text" w:horzAnchor="margin" w:tblpXSpec="center" w:tblpY="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007"/>
        <w:gridCol w:w="3012"/>
      </w:tblGrid>
      <w:tr w:rsidR="004879D7" w:rsidRPr="00B406B9" w14:paraId="584E1A63" w14:textId="77777777" w:rsidTr="004879D7">
        <w:trPr>
          <w:trHeight w:val="26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7FC20D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Уровень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44686D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Главный управляющий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</w: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67199A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Консультативный орган</w:t>
            </w:r>
          </w:p>
        </w:tc>
      </w:tr>
      <w:tr w:rsidR="004879D7" w:rsidRPr="00B406B9" w14:paraId="6B15587C" w14:textId="77777777" w:rsidTr="004879D7">
        <w:trPr>
          <w:trHeight w:val="5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5721F4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1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Портфель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D3F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Совет управляющих Десятилетия или</w:t>
            </w:r>
          </w:p>
          <w:p w14:paraId="48720166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Совет Десятилетия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751A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Референтная</w:t>
            </w:r>
            <w:proofErr w:type="spellEnd"/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 xml:space="preserve"> группа Десятилетия, состоящая из государств-членов, взаимодействие которых осуществляется через МОК</w:t>
            </w:r>
          </w:p>
        </w:tc>
      </w:tr>
      <w:tr w:rsidR="004879D7" w:rsidRPr="00B406B9" w14:paraId="6A614F5F" w14:textId="77777777" w:rsidTr="004879D7">
        <w:trPr>
          <w:trHeight w:val="26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F0786C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5F4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Руководящий комитет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9665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Консультативная группа по программам</w:t>
            </w:r>
          </w:p>
        </w:tc>
      </w:tr>
      <w:tr w:rsidR="004879D7" w:rsidRPr="00C80F4C" w14:paraId="59EFBACD" w14:textId="77777777" w:rsidTr="004879D7">
        <w:trPr>
          <w:trHeight w:val="5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22ECF92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E8A2" w14:textId="2539D9CB" w:rsidR="004879D7" w:rsidRPr="00B406B9" w:rsidRDefault="008716CB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Научный руководящий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="004879D7" w:rsidRPr="00B406B9">
              <w:rPr>
                <w:rFonts w:ascii="Arial" w:hAnsi="Arial" w:cs="Arial"/>
                <w:sz w:val="20"/>
                <w:szCs w:val="20"/>
                <w:lang w:val="ru-RU"/>
              </w:rPr>
              <w:t>комитет</w:t>
            </w:r>
          </w:p>
          <w:p w14:paraId="04326B78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Проектная группа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B31" w14:textId="77777777" w:rsidR="004879D7" w:rsidRPr="00C80F4C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879D7" w:rsidRPr="00C80F4C" w14:paraId="740A2A42" w14:textId="77777777" w:rsidTr="004879D7">
        <w:trPr>
          <w:trHeight w:val="80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DE268F" w14:textId="77777777" w:rsidR="004879D7" w:rsidRPr="008716CB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1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Все уровни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1EDB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8" w:right="93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 xml:space="preserve">Экспертные группы </w:t>
            </w:r>
          </w:p>
          <w:p w14:paraId="54FE8868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8" w:right="93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Рабочие группы</w:t>
            </w:r>
          </w:p>
          <w:p w14:paraId="43C3D73F" w14:textId="77777777" w:rsidR="004879D7" w:rsidRPr="00B406B9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10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B9">
              <w:rPr>
                <w:rFonts w:ascii="Arial" w:hAnsi="Arial" w:cs="Arial"/>
                <w:sz w:val="20"/>
                <w:szCs w:val="20"/>
                <w:lang w:val="ru-RU"/>
              </w:rPr>
              <w:t>Целевые группы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114" w14:textId="77777777" w:rsidR="004879D7" w:rsidRPr="00C80F4C" w:rsidRDefault="004879D7" w:rsidP="00A95897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D71FDDE" w14:textId="75BA092C" w:rsidR="008D1800" w:rsidRPr="004879D7" w:rsidRDefault="004879D7" w:rsidP="004879D7">
      <w:pPr>
        <w:kinsoku w:val="0"/>
        <w:overflowPunct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879D7">
        <w:rPr>
          <w:rFonts w:ascii="Arial" w:hAnsi="Arial" w:cs="Arial"/>
          <w:sz w:val="20"/>
          <w:szCs w:val="20"/>
          <w:u w:val="single"/>
          <w:lang w:val="ru-RU"/>
        </w:rPr>
        <w:t>Таблица 1</w:t>
      </w:r>
      <w:r w:rsidRPr="004879D7">
        <w:rPr>
          <w:rFonts w:ascii="Arial" w:hAnsi="Arial" w:cs="Arial"/>
          <w:sz w:val="20"/>
          <w:szCs w:val="20"/>
          <w:lang w:val="ru-RU"/>
        </w:rPr>
        <w:t>. Возможные органы структуры управления Десятилетием</w:t>
      </w:r>
    </w:p>
    <w:p w14:paraId="3337AFE1" w14:textId="0228A9C2" w:rsidR="00722329" w:rsidRPr="00C80F4C" w:rsidRDefault="00227916" w:rsidP="004879D7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По окончании этапа планирования Исполнительную группу планирования можно было бы преобразовать в основной руководящий орган Десятилетия, обеспечив должн</w:t>
      </w:r>
      <w:r w:rsidR="00AC3087">
        <w:rPr>
          <w:rFonts w:ascii="Arial" w:hAnsi="Arial" w:cs="Arial"/>
          <w:lang w:val="ru-RU"/>
        </w:rPr>
        <w:t>ую</w:t>
      </w:r>
      <w:r w:rsidRPr="00C80F4C">
        <w:rPr>
          <w:rFonts w:ascii="Arial" w:hAnsi="Arial" w:cs="Arial"/>
          <w:lang w:val="ru-RU"/>
        </w:rPr>
        <w:t xml:space="preserve"> ротаци</w:t>
      </w:r>
      <w:r w:rsidR="00AC3087">
        <w:rPr>
          <w:rFonts w:ascii="Arial" w:hAnsi="Arial" w:cs="Arial"/>
          <w:lang w:val="ru-RU"/>
        </w:rPr>
        <w:t>ю</w:t>
      </w:r>
      <w:r w:rsidRPr="00C80F4C">
        <w:rPr>
          <w:rFonts w:ascii="Arial" w:hAnsi="Arial" w:cs="Arial"/>
          <w:lang w:val="ru-RU"/>
        </w:rPr>
        <w:t xml:space="preserve"> членского состава и сохранени</w:t>
      </w:r>
      <w:r w:rsidR="00AC3087">
        <w:rPr>
          <w:rFonts w:ascii="Arial" w:hAnsi="Arial" w:cs="Arial"/>
          <w:lang w:val="ru-RU"/>
        </w:rPr>
        <w:t>е</w:t>
      </w:r>
      <w:r w:rsidRPr="00C80F4C">
        <w:rPr>
          <w:rFonts w:ascii="Arial" w:hAnsi="Arial" w:cs="Arial"/>
          <w:lang w:val="ru-RU"/>
        </w:rPr>
        <w:t xml:space="preserve"> корпоративной памяти. Она может продолжить работу в форме Группы экспертов МОК или </w:t>
      </w:r>
      <w:r w:rsidRPr="00C80F4C">
        <w:rPr>
          <w:rFonts w:ascii="Arial" w:hAnsi="Arial" w:cs="Arial"/>
          <w:b/>
          <w:bCs/>
          <w:lang w:val="ru-RU"/>
        </w:rPr>
        <w:t>Совета управляющих/Совета Десятилетия</w:t>
      </w:r>
      <w:r w:rsidRPr="00C80F4C">
        <w:rPr>
          <w:rFonts w:ascii="Arial" w:hAnsi="Arial" w:cs="Arial"/>
          <w:lang w:val="ru-RU"/>
        </w:rPr>
        <w:t xml:space="preserve">, уполномоченного МОК осуществлять надзор за проведением Десятилетия и вести соответствующую работу, выступая от имени заинтересованных сторон, как входящих, так и не входящих в систему ООН. </w:t>
      </w:r>
    </w:p>
    <w:p w14:paraId="619FFED8" w14:textId="00006F51" w:rsidR="00136E3E" w:rsidRPr="00C80F4C" w:rsidRDefault="00722329" w:rsidP="004879D7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Совет/Совет управляющих Десятилетия будет регулярно отчитываться перед МОК (и другими основными заинтересованными сторонами), а также содействовать сбору информации, необходимой Генеральному секретарю для представления докладов о ходе работы Генеральной Ассамблее ООН. </w:t>
      </w:r>
    </w:p>
    <w:p w14:paraId="3DF7C8AC" w14:textId="134C7BC0" w:rsidR="00136E3E" w:rsidRPr="00C80F4C" w:rsidRDefault="00136E3E" w:rsidP="004879D7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 xml:space="preserve">На уровне программ и проектов (на котором основные усилия и ресурсы сосредоточены на реализации инициатив, осуществляемых на добровольной основе и/или за счет взносов) структура управления должна быть в значительной степени децентрализованной и функционировать на основе </w:t>
      </w:r>
      <w:proofErr w:type="spellStart"/>
      <w:r w:rsidRPr="00C80F4C">
        <w:rPr>
          <w:rFonts w:ascii="Arial" w:hAnsi="Arial" w:cs="Arial"/>
          <w:lang w:val="ru-RU"/>
        </w:rPr>
        <w:t>самообеспечения</w:t>
      </w:r>
      <w:proofErr w:type="spellEnd"/>
      <w:r w:rsidRPr="00C80F4C">
        <w:rPr>
          <w:rFonts w:ascii="Arial" w:hAnsi="Arial" w:cs="Arial"/>
          <w:lang w:val="ru-RU"/>
        </w:rPr>
        <w:t>, при этом все заинтересованные стороны будут вносить вклад в соответствии со своими возможностями и имеющимся потенциалом. Вне зависимости от того, какая структура будет утверждена, важно, чтобы она соответствовала поставленной цели, способствовала получению наглядной отдачи и проведению Десятилетия.</w:t>
      </w:r>
    </w:p>
    <w:p w14:paraId="6A0B2D4D" w14:textId="24F2D35A" w:rsidR="00E91C18" w:rsidRPr="004879D7" w:rsidRDefault="00E91C18" w:rsidP="008046B6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79D7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Привлечение и координация заинтересованных сторон</w:t>
      </w:r>
    </w:p>
    <w:p w14:paraId="79345A51" w14:textId="051C4814" w:rsidR="00136E3E" w:rsidRPr="00C80F4C" w:rsidRDefault="002D680E" w:rsidP="0076169F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Важно</w:t>
      </w:r>
      <w:r w:rsidR="00300D79">
        <w:rPr>
          <w:rFonts w:ascii="Arial" w:hAnsi="Arial" w:cs="Arial"/>
          <w:lang w:val="ru-RU"/>
        </w:rPr>
        <w:t>сть</w:t>
      </w:r>
      <w:r w:rsidRPr="00C80F4C">
        <w:rPr>
          <w:rFonts w:ascii="Arial" w:hAnsi="Arial" w:cs="Arial"/>
          <w:lang w:val="ru-RU"/>
        </w:rPr>
        <w:t xml:space="preserve"> </w:t>
      </w:r>
      <w:r w:rsidR="00300D79">
        <w:rPr>
          <w:rFonts w:ascii="Arial" w:hAnsi="Arial" w:cs="Arial"/>
          <w:lang w:val="ru-RU"/>
        </w:rPr>
        <w:t>популяр</w:t>
      </w:r>
      <w:r w:rsidR="008D1800" w:rsidRPr="00C80F4C">
        <w:rPr>
          <w:rFonts w:ascii="Arial" w:hAnsi="Arial" w:cs="Arial"/>
          <w:lang w:val="ru-RU"/>
        </w:rPr>
        <w:t xml:space="preserve">изации </w:t>
      </w:r>
      <w:r w:rsidRPr="00C80F4C">
        <w:rPr>
          <w:rFonts w:ascii="Arial" w:hAnsi="Arial" w:cs="Arial"/>
          <w:lang w:val="ru-RU"/>
        </w:rPr>
        <w:t>концепции совместно проектируемых научных исследований неоднократно отмечал</w:t>
      </w:r>
      <w:r w:rsidR="00300D79">
        <w:rPr>
          <w:rFonts w:ascii="Arial" w:hAnsi="Arial" w:cs="Arial"/>
          <w:lang w:val="ru-RU"/>
        </w:rPr>
        <w:t>а</w:t>
      </w:r>
      <w:r w:rsidRPr="00C80F4C">
        <w:rPr>
          <w:rFonts w:ascii="Arial" w:hAnsi="Arial" w:cs="Arial"/>
          <w:lang w:val="ru-RU"/>
        </w:rPr>
        <w:t>сь в ходе первого совещания по глобальному планированию, а также ИГП, поэтому одним из необходимых условий является привлечение различных заинтересованных сторон на разных этапах проведения Десятилетия. Можно было бы создать форум заинтересованных сторон в составе представителей учреждений, занимающихся проблематикой устойчивости Мирового океана и океанографией. Форум заинтересованных сторон может выступать одновременно в качестве донора и конечного бенефициара Десятилетия и вносить вклад в проводимую работу посредством экспертной помощи, предоставления знаний, данных и информации,</w:t>
      </w:r>
      <w:r w:rsidR="001D700D">
        <w:rPr>
          <w:rFonts w:ascii="Arial" w:hAnsi="Arial" w:cs="Arial"/>
          <w:lang w:val="ru-RU"/>
        </w:rPr>
        <w:t xml:space="preserve"> а также</w:t>
      </w:r>
      <w:r w:rsidRPr="00C80F4C">
        <w:rPr>
          <w:rFonts w:ascii="Arial" w:hAnsi="Arial" w:cs="Arial"/>
          <w:lang w:val="ru-RU"/>
        </w:rPr>
        <w:t xml:space="preserve"> обмена опытом укрепления потенциала его членов. Работу форума заинтересованных сторон планируется вести на виртуальной платформе, однако можно также предусмотреть проведение один раз в два года его очных совещаний, начиная </w:t>
      </w:r>
      <w:r w:rsidRPr="00C80F4C">
        <w:rPr>
          <w:rFonts w:ascii="Arial" w:hAnsi="Arial" w:cs="Arial"/>
          <w:lang w:val="ru-RU"/>
        </w:rPr>
        <w:lastRenderedPageBreak/>
        <w:t xml:space="preserve">с 2021 г. Форум заинтересованных сторон мог бы также стать площадкой для выдвижения идей относительно новых мероприятий и обязательств в поддержку Десятилетия. </w:t>
      </w:r>
    </w:p>
    <w:p w14:paraId="157E8D25" w14:textId="0E026389" w:rsidR="00770675" w:rsidRPr="00B406B9" w:rsidRDefault="00770675" w:rsidP="00B406B9">
      <w:pPr>
        <w:keepNext/>
        <w:keepLines/>
        <w:spacing w:after="240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bookmarkStart w:id="2" w:name="3.3_Engage_and_consult_relevant_communit"/>
      <w:bookmarkEnd w:id="2"/>
      <w:r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Сеть </w:t>
      </w:r>
      <w:r w:rsidR="00C46D4D"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>«</w:t>
      </w:r>
      <w:r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ООН-океаны</w:t>
      </w:r>
      <w:r w:rsidR="00C46D4D"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>»</w:t>
      </w:r>
      <w:r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и международные органы</w:t>
      </w:r>
    </w:p>
    <w:p w14:paraId="3C895399" w14:textId="0237701F" w:rsidR="003E2215" w:rsidRPr="00C80F4C" w:rsidRDefault="00DF16BD" w:rsidP="00B406B9">
      <w:pPr>
        <w:pStyle w:val="ListParagraph"/>
        <w:keepNext/>
        <w:keepLines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МОК взаимодействует с соответствующими фондами, программами и специализированными учреждениями Организации Объединенных Наций на двусторонней основе, а также через сеть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ООН-океаны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 xml:space="preserve">, выступающую в качестве межучрежденческого координационного механизма по </w:t>
      </w:r>
      <w:r w:rsidR="001D700D" w:rsidRPr="00C80F4C">
        <w:rPr>
          <w:rFonts w:ascii="Arial" w:hAnsi="Arial" w:cs="Arial"/>
          <w:lang w:val="ru-RU"/>
        </w:rPr>
        <w:t xml:space="preserve">связанным с океаном </w:t>
      </w:r>
      <w:r w:rsidRPr="00C80F4C">
        <w:rPr>
          <w:rFonts w:ascii="Arial" w:hAnsi="Arial" w:cs="Arial"/>
          <w:lang w:val="ru-RU"/>
        </w:rPr>
        <w:t xml:space="preserve">вопросам. Ряд учреждений, программ и структур системы ООН положительно откликнулись на предложение МОК о совместной работе по подготовке Десятилетия. </w:t>
      </w:r>
      <w:r w:rsidR="001D700D">
        <w:rPr>
          <w:rFonts w:ascii="Arial" w:hAnsi="Arial" w:cs="Arial"/>
          <w:lang w:val="ru-RU"/>
        </w:rPr>
        <w:t>В их число входят</w:t>
      </w:r>
      <w:r w:rsidRPr="00C80F4C">
        <w:rPr>
          <w:rFonts w:ascii="Arial" w:hAnsi="Arial" w:cs="Arial"/>
          <w:lang w:val="ru-RU"/>
        </w:rPr>
        <w:t xml:space="preserve"> Продовольственная и сельскохозяйственная организация Объединенных Наций (ФАО), Международная морская организация (ИМО), Всемирная метеорологическая организация (ВМО), Программа ООН по окружающей среде, правовое управление Отдела по вопросам океана и морскому праву (ПУ/ОВОМП), Международный орган по морскому дну (МОМД), Конвенция о биологическом разнообразии (КБР) и Программа развития Организации Объединенных Наций (ПРООН). В рамках сети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ООН-океаны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 xml:space="preserve"> была создана контактная группа для содействия сбору материалов и рекомендаций для подготовительного этапа Десятилетия. Ожидается, что эта группа будет функционировать до конца этапа планирования.</w:t>
      </w:r>
    </w:p>
    <w:p w14:paraId="1E2F91DD" w14:textId="478E74F2" w:rsidR="003E2215" w:rsidRPr="001D700D" w:rsidRDefault="003E2215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Кроме того, </w:t>
      </w:r>
      <w:r w:rsidR="001D700D" w:rsidRPr="00C80F4C">
        <w:rPr>
          <w:rFonts w:ascii="Arial" w:hAnsi="Arial" w:cs="Arial"/>
          <w:lang w:val="ru-RU"/>
        </w:rPr>
        <w:t>пр</w:t>
      </w:r>
      <w:r w:rsidR="001D700D">
        <w:rPr>
          <w:rFonts w:ascii="Arial" w:hAnsi="Arial" w:cs="Arial"/>
          <w:lang w:val="ru-RU"/>
        </w:rPr>
        <w:t>иглаш</w:t>
      </w:r>
      <w:r w:rsidR="001D700D" w:rsidRPr="00C80F4C">
        <w:rPr>
          <w:rFonts w:ascii="Arial" w:hAnsi="Arial" w:cs="Arial"/>
          <w:lang w:val="ru-RU"/>
        </w:rPr>
        <w:t xml:space="preserve">ение </w:t>
      </w:r>
      <w:r w:rsidRPr="00C80F4C">
        <w:rPr>
          <w:rFonts w:ascii="Arial" w:hAnsi="Arial" w:cs="Arial"/>
          <w:lang w:val="ru-RU"/>
        </w:rPr>
        <w:t>к сотрудничеству получили также межправительственные организации, занимающиеся морскими науками. К ним относятся:</w:t>
      </w:r>
    </w:p>
    <w:p w14:paraId="21FB9D7C" w14:textId="77777777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Международная гидрографическая организация (МГО),</w:t>
      </w:r>
    </w:p>
    <w:p w14:paraId="4CD55B7D" w14:textId="77777777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Международный совет по исследованию моря (МСИМ),</w:t>
      </w:r>
    </w:p>
    <w:p w14:paraId="3023A227" w14:textId="350CBF44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proofErr w:type="gramStart"/>
      <w:r w:rsidRPr="00C80F4C">
        <w:rPr>
          <w:rFonts w:ascii="Arial" w:hAnsi="Arial" w:cs="Arial"/>
          <w:lang w:val="ru-RU"/>
        </w:rPr>
        <w:t>Северо-Тихоокеанская</w:t>
      </w:r>
      <w:proofErr w:type="gramEnd"/>
      <w:r w:rsidRPr="00C80F4C">
        <w:rPr>
          <w:rFonts w:ascii="Arial" w:hAnsi="Arial" w:cs="Arial"/>
          <w:lang w:val="ru-RU"/>
        </w:rPr>
        <w:t xml:space="preserve"> организация по морским наукам (СТОМН),</w:t>
      </w:r>
    </w:p>
    <w:p w14:paraId="4512647A" w14:textId="3AB00ACE" w:rsidR="001309F0" w:rsidRPr="00C80F4C" w:rsidRDefault="001309F0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Европейская комиссия (ЕК),</w:t>
      </w:r>
    </w:p>
    <w:p w14:paraId="6210808B" w14:textId="09227081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Совместная инициатива по составлению программ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Здоровые и продуктивные моря и океаны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 xml:space="preserve"> (СИСП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Океаны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>),</w:t>
      </w:r>
    </w:p>
    <w:p w14:paraId="2E202E30" w14:textId="77777777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Постоянная комиссия для южной части Тихого океана (ПКЮТО),</w:t>
      </w:r>
    </w:p>
    <w:p w14:paraId="2398AB2D" w14:textId="40027463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Секретариат Тихоокеанского сообщества (СТС),</w:t>
      </w:r>
    </w:p>
    <w:p w14:paraId="32EB989E" w14:textId="06EF3522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Региональная программа по окружающей среде для южной части Тихого океана (СПРЕП),</w:t>
      </w:r>
    </w:p>
    <w:p w14:paraId="134AB2E1" w14:textId="77777777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Международный союз охраны природы (МСОП),</w:t>
      </w:r>
    </w:p>
    <w:p w14:paraId="33BD0E2C" w14:textId="77777777" w:rsidR="003E2215" w:rsidRPr="00C80F4C" w:rsidRDefault="003E2215" w:rsidP="008046B6">
      <w:pPr>
        <w:pStyle w:val="ListParagraph"/>
        <w:numPr>
          <w:ilvl w:val="0"/>
          <w:numId w:val="1"/>
        </w:numPr>
        <w:spacing w:after="240" w:line="240" w:lineRule="auto"/>
        <w:ind w:left="1418" w:hanging="72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Форум тихоокеанских островов.</w:t>
      </w:r>
    </w:p>
    <w:p w14:paraId="7721EE55" w14:textId="77777777" w:rsidR="003E2215" w:rsidRPr="00C80F4C" w:rsidRDefault="003E2215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Некоторые из этих организаций уже официально заявили о своей заинтересованности в налаживании партнерских связей в рамках Десятилетия.</w:t>
      </w:r>
    </w:p>
    <w:p w14:paraId="6C8F8CDC" w14:textId="1424DB89" w:rsidR="003E2215" w:rsidRPr="00C80F4C" w:rsidRDefault="003E2215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Внести свой вклад было также предложено научным сообществам, связанным с рядом научных союзов и комитетов. К ним относятся:</w:t>
      </w:r>
    </w:p>
    <w:p w14:paraId="5A1BB58D" w14:textId="3937CB0A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Международный совет по науке (МСН),</w:t>
      </w:r>
    </w:p>
    <w:p w14:paraId="7410D622" w14:textId="208C8A69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Научный комитет по океаническим исследованиям (СКОР),</w:t>
      </w:r>
    </w:p>
    <w:p w14:paraId="44F3D67B" w14:textId="765DADB4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Ассоциации МГГС,</w:t>
      </w:r>
    </w:p>
    <w:p w14:paraId="5977F789" w14:textId="0FE8455F" w:rsidR="003E2215" w:rsidRPr="00C80F4C" w:rsidRDefault="003E2215" w:rsidP="008046B6">
      <w:pPr>
        <w:pStyle w:val="ListParagraph"/>
        <w:numPr>
          <w:ilvl w:val="0"/>
          <w:numId w:val="1"/>
        </w:numPr>
        <w:spacing w:after="120" w:line="240" w:lineRule="auto"/>
        <w:ind w:left="1418" w:hanging="72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Всемирная программа исследования климата (ВПИК),</w:t>
      </w:r>
    </w:p>
    <w:p w14:paraId="6A602E37" w14:textId="299F75C8" w:rsidR="003E2215" w:rsidRPr="00C80F4C" w:rsidRDefault="003E2215" w:rsidP="008046B6">
      <w:pPr>
        <w:pStyle w:val="ListParagraph"/>
        <w:numPr>
          <w:ilvl w:val="0"/>
          <w:numId w:val="1"/>
        </w:numPr>
        <w:spacing w:after="240" w:line="240" w:lineRule="auto"/>
        <w:ind w:left="1418" w:hanging="72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 xml:space="preserve">Инициатива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Земля будущего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>.</w:t>
      </w:r>
    </w:p>
    <w:p w14:paraId="3280CA24" w14:textId="12EFADED" w:rsidR="00DF16BD" w:rsidRPr="00C80F4C" w:rsidRDefault="003E2215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lastRenderedPageBreak/>
        <w:t>Образовательным учреждениям, уделяющим особое внимание развитию потенциала в области морских наук на международном или региональном уровнях, было предложено внести свой вклад, в частности, в разработку плана развития потенциала.</w:t>
      </w:r>
    </w:p>
    <w:p w14:paraId="154C2F4A" w14:textId="7D133F59" w:rsidR="00DF16BD" w:rsidRPr="008C7ED0" w:rsidRDefault="00DF16BD" w:rsidP="008046B6">
      <w:pPr>
        <w:spacing w:after="240"/>
        <w:rPr>
          <w:rFonts w:ascii="Arial" w:hAnsi="Arial" w:cs="Arial"/>
          <w:b/>
          <w:i/>
          <w:sz w:val="22"/>
          <w:szCs w:val="22"/>
        </w:rPr>
      </w:pPr>
      <w:r w:rsidRPr="008C7ED0">
        <w:rPr>
          <w:rFonts w:ascii="Arial" w:hAnsi="Arial" w:cs="Arial"/>
          <w:b/>
          <w:bCs/>
          <w:sz w:val="22"/>
          <w:szCs w:val="22"/>
          <w:lang w:val="ru-RU"/>
        </w:rPr>
        <w:t>Официальный национальный координирующий орган по связи с МОК и национальные комитеты по проведению Десятилетия</w:t>
      </w:r>
    </w:p>
    <w:p w14:paraId="26BEE022" w14:textId="77777777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С учетом масштабов и динамики деятельности в рамках Десятилетия во многих случаях важнейшее значение будет иметь координация мероприятий Десятилетия на национальном уровне.</w:t>
      </w:r>
    </w:p>
    <w:p w14:paraId="03A93F50" w14:textId="39C76524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Ряд государств-членов уже создал официальные национальные координационные органы для связи с МОК. В некоторых случаях это отдельный орган, не входящий в состав национальной комиссии по делам ЮНЕСКО. В других странах этот орган функционирует в качестве подкомитета и подотчетен национальной комиссии по делам ЮНЕСКО.</w:t>
      </w:r>
    </w:p>
    <w:p w14:paraId="0EEE9411" w14:textId="4AB1CA77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С учетом характера МОК этот официально назначаемый орган имеет государственный статус и должен обеспечивать координацию с соответствующими официальными национальными органами власти. В идеале таким единственным национальным координационным органом для связи с Комиссией должен быть национальный координационный комитет или национальный комитет по делам МОК, к созданию которых Ассамблея Комиссии впервые призвала в 1982 г., указав, что в работе такого органа должны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участвовать все политические и научные учреждения и структуры, связанные с океаном и управлением им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>. Национальный комитет по морским наукам и политика в этой области имеют важнейшее значение для определения и контроля за такой деятельностью. С ним должны сотрудничать все учреждения и структуры, занимающиеся вопросами океана и управления им. Это могут быть университеты, центры океанографических исследований, министерства</w:t>
      </w:r>
      <w:r w:rsidR="00B252A5" w:rsidRPr="00C80F4C">
        <w:rPr>
          <w:rFonts w:ascii="Arial" w:hAnsi="Arial" w:cs="Arial"/>
          <w:lang w:val="ru-RU"/>
        </w:rPr>
        <w:t>, занимающиеся вопросами</w:t>
      </w:r>
      <w:r w:rsidRPr="00C80F4C">
        <w:rPr>
          <w:rFonts w:ascii="Arial" w:hAnsi="Arial" w:cs="Arial"/>
          <w:lang w:val="ru-RU"/>
        </w:rPr>
        <w:t xml:space="preserve"> экономики и финансов, рыболовства, просвещения и высшего об</w:t>
      </w:r>
      <w:r w:rsidR="00B252A5" w:rsidRPr="00C80F4C">
        <w:rPr>
          <w:rFonts w:ascii="Arial" w:hAnsi="Arial" w:cs="Arial"/>
          <w:lang w:val="ru-RU"/>
        </w:rPr>
        <w:t xml:space="preserve">разования, морского транспорта, </w:t>
      </w:r>
      <w:r w:rsidRPr="00C80F4C">
        <w:rPr>
          <w:rFonts w:ascii="Arial" w:hAnsi="Arial" w:cs="Arial"/>
          <w:lang w:val="ru-RU"/>
        </w:rPr>
        <w:t>международны</w:t>
      </w:r>
      <w:r w:rsidR="00B252A5" w:rsidRPr="00C80F4C">
        <w:rPr>
          <w:rFonts w:ascii="Arial" w:hAnsi="Arial" w:cs="Arial"/>
          <w:lang w:val="ru-RU"/>
        </w:rPr>
        <w:t>ми</w:t>
      </w:r>
      <w:r w:rsidRPr="00C80F4C">
        <w:rPr>
          <w:rFonts w:ascii="Arial" w:hAnsi="Arial" w:cs="Arial"/>
          <w:lang w:val="ru-RU"/>
        </w:rPr>
        <w:t xml:space="preserve"> и правовы</w:t>
      </w:r>
      <w:r w:rsidR="00B252A5" w:rsidRPr="00C80F4C">
        <w:rPr>
          <w:rFonts w:ascii="Arial" w:hAnsi="Arial" w:cs="Arial"/>
          <w:lang w:val="ru-RU"/>
        </w:rPr>
        <w:t>ми вопросами,</w:t>
      </w:r>
      <w:r w:rsidRPr="00C80F4C">
        <w:rPr>
          <w:rFonts w:ascii="Arial" w:hAnsi="Arial" w:cs="Arial"/>
          <w:lang w:val="ru-RU"/>
        </w:rPr>
        <w:t xml:space="preserve"> </w:t>
      </w:r>
      <w:r w:rsidR="00BE15A9" w:rsidRPr="00C80F4C">
        <w:rPr>
          <w:rFonts w:ascii="Arial" w:hAnsi="Arial" w:cs="Arial"/>
          <w:lang w:val="ru-RU"/>
        </w:rPr>
        <w:t xml:space="preserve">работающие в прибрежных районах </w:t>
      </w:r>
      <w:r w:rsidRPr="00C80F4C">
        <w:rPr>
          <w:rFonts w:ascii="Arial" w:hAnsi="Arial" w:cs="Arial"/>
          <w:lang w:val="ru-RU"/>
        </w:rPr>
        <w:t xml:space="preserve">предприятия и туристические агентства, частный сектор и соответствующие неправительственные организации. Этот перечень </w:t>
      </w:r>
      <w:r w:rsidR="00BE15A9" w:rsidRPr="00C80F4C">
        <w:rPr>
          <w:rFonts w:ascii="Arial" w:hAnsi="Arial" w:cs="Arial"/>
          <w:lang w:val="ru-RU"/>
        </w:rPr>
        <w:t xml:space="preserve">является </w:t>
      </w:r>
      <w:r w:rsidRPr="00C80F4C">
        <w:rPr>
          <w:rFonts w:ascii="Arial" w:hAnsi="Arial" w:cs="Arial"/>
          <w:lang w:val="ru-RU"/>
        </w:rPr>
        <w:t>далеко не исчерпывающим.</w:t>
      </w:r>
    </w:p>
    <w:p w14:paraId="71B305E6" w14:textId="69E0B221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Такая структура может заниматься созданием условий для диалога и консультаций на национальном уровне, обеспечивая рациональное управление морскими ресурсами и эффективное участие государств-членов в программах МОК и способствуя тем самым осуществлению на национальном уровне региональных и международных конвенций. Эффективная координация между национальными океанографическими комитетами и национальными комиссиями по делам ЮНЕСКО необходима для обеспечения </w:t>
      </w:r>
      <w:r w:rsidR="00BE15A9" w:rsidRPr="00C80F4C">
        <w:rPr>
          <w:rFonts w:ascii="Arial" w:hAnsi="Arial" w:cs="Arial"/>
          <w:lang w:val="ru-RU"/>
        </w:rPr>
        <w:t>уч</w:t>
      </w:r>
      <w:r w:rsidR="00BE15A9">
        <w:rPr>
          <w:rFonts w:ascii="Arial" w:hAnsi="Arial" w:cs="Arial"/>
          <w:lang w:val="ru-RU"/>
        </w:rPr>
        <w:t>ета</w:t>
      </w:r>
      <w:r w:rsidR="00BE15A9" w:rsidRPr="00C80F4C">
        <w:rPr>
          <w:rFonts w:ascii="Arial" w:hAnsi="Arial" w:cs="Arial"/>
          <w:lang w:val="ru-RU"/>
        </w:rPr>
        <w:t xml:space="preserve"> </w:t>
      </w:r>
      <w:r w:rsidRPr="00C80F4C">
        <w:rPr>
          <w:rFonts w:ascii="Arial" w:hAnsi="Arial" w:cs="Arial"/>
          <w:lang w:val="ru-RU"/>
        </w:rPr>
        <w:t>в ЮНЕСКО все</w:t>
      </w:r>
      <w:r w:rsidR="00BE15A9">
        <w:rPr>
          <w:rFonts w:ascii="Arial" w:hAnsi="Arial" w:cs="Arial"/>
          <w:lang w:val="ru-RU"/>
        </w:rPr>
        <w:t>х</w:t>
      </w:r>
      <w:r w:rsidRPr="00C80F4C">
        <w:rPr>
          <w:rFonts w:ascii="Arial" w:hAnsi="Arial" w:cs="Arial"/>
          <w:lang w:val="ru-RU"/>
        </w:rPr>
        <w:t xml:space="preserve"> потребност</w:t>
      </w:r>
      <w:r w:rsidR="00BE15A9">
        <w:rPr>
          <w:rFonts w:ascii="Arial" w:hAnsi="Arial" w:cs="Arial"/>
          <w:lang w:val="ru-RU"/>
        </w:rPr>
        <w:t>ей</w:t>
      </w:r>
      <w:r w:rsidRPr="00C80F4C">
        <w:rPr>
          <w:rFonts w:ascii="Arial" w:hAnsi="Arial" w:cs="Arial"/>
          <w:lang w:val="ru-RU"/>
        </w:rPr>
        <w:t xml:space="preserve"> и форм участия.</w:t>
      </w:r>
    </w:p>
    <w:p w14:paraId="7BF62B75" w14:textId="1A4CF3CC" w:rsidR="00DF16BD" w:rsidRPr="00C80F4C" w:rsidRDefault="00BE15A9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DF16BD" w:rsidRPr="00C80F4C">
        <w:rPr>
          <w:rFonts w:ascii="Arial" w:hAnsi="Arial" w:cs="Arial"/>
          <w:lang w:val="ru-RU"/>
        </w:rPr>
        <w:t>екоторы</w:t>
      </w:r>
      <w:r>
        <w:rPr>
          <w:rFonts w:ascii="Arial" w:hAnsi="Arial" w:cs="Arial"/>
          <w:lang w:val="ru-RU"/>
        </w:rPr>
        <w:t>м</w:t>
      </w:r>
      <w:r w:rsidR="00DF16BD" w:rsidRPr="00C80F4C">
        <w:rPr>
          <w:rFonts w:ascii="Arial" w:hAnsi="Arial" w:cs="Arial"/>
          <w:lang w:val="ru-RU"/>
        </w:rPr>
        <w:t xml:space="preserve"> стран</w:t>
      </w:r>
      <w:r>
        <w:rPr>
          <w:rFonts w:ascii="Arial" w:hAnsi="Arial" w:cs="Arial"/>
          <w:lang w:val="ru-RU"/>
        </w:rPr>
        <w:t>ам</w:t>
      </w:r>
      <w:r w:rsidR="00DF16BD" w:rsidRPr="00C80F4C">
        <w:rPr>
          <w:rFonts w:ascii="Arial" w:hAnsi="Arial" w:cs="Arial"/>
          <w:lang w:val="ru-RU"/>
        </w:rPr>
        <w:t xml:space="preserve"> Десятилетие может предоставить возможность укрепить существующий официальный национальный координационный орган по связи с МОК. </w:t>
      </w:r>
      <w:r>
        <w:rPr>
          <w:rFonts w:ascii="Arial" w:hAnsi="Arial" w:cs="Arial"/>
          <w:lang w:val="ru-RU"/>
        </w:rPr>
        <w:t>Д</w:t>
      </w:r>
      <w:r w:rsidR="00DF16BD" w:rsidRPr="00C80F4C">
        <w:rPr>
          <w:rFonts w:ascii="Arial" w:hAnsi="Arial" w:cs="Arial"/>
          <w:lang w:val="ru-RU"/>
        </w:rPr>
        <w:t>руги</w:t>
      </w:r>
      <w:r>
        <w:rPr>
          <w:rFonts w:ascii="Arial" w:hAnsi="Arial" w:cs="Arial"/>
          <w:lang w:val="ru-RU"/>
        </w:rPr>
        <w:t>е</w:t>
      </w:r>
      <w:r w:rsidR="00DF16BD" w:rsidRPr="00C80F4C">
        <w:rPr>
          <w:rFonts w:ascii="Arial" w:hAnsi="Arial" w:cs="Arial"/>
          <w:lang w:val="ru-RU"/>
        </w:rPr>
        <w:t xml:space="preserve"> стран</w:t>
      </w:r>
      <w:r>
        <w:rPr>
          <w:rFonts w:ascii="Arial" w:hAnsi="Arial" w:cs="Arial"/>
          <w:lang w:val="ru-RU"/>
        </w:rPr>
        <w:t>ы</w:t>
      </w:r>
      <w:r w:rsidR="00DF16BD" w:rsidRPr="00C80F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="00DF16BD" w:rsidRPr="00C80F4C">
        <w:rPr>
          <w:rFonts w:ascii="Arial" w:hAnsi="Arial" w:cs="Arial"/>
          <w:lang w:val="ru-RU"/>
        </w:rPr>
        <w:t>мо</w:t>
      </w:r>
      <w:r>
        <w:rPr>
          <w:rFonts w:ascii="Arial" w:hAnsi="Arial" w:cs="Arial"/>
          <w:lang w:val="ru-RU"/>
        </w:rPr>
        <w:t>гут</w:t>
      </w:r>
      <w:r w:rsidR="00DF16BD" w:rsidRPr="00C80F4C">
        <w:rPr>
          <w:rFonts w:ascii="Arial" w:hAnsi="Arial" w:cs="Arial"/>
          <w:lang w:val="ru-RU"/>
        </w:rPr>
        <w:t xml:space="preserve"> создать официальный национальный координационный орган для связи с МОК. </w:t>
      </w:r>
    </w:p>
    <w:p w14:paraId="2DEE1EB7" w14:textId="1D19051F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Учитывая характер этих органов (описанный выше), они могут функционировать в качестве масштабного национального координационного механизма, соответствующего охвату и динамике Десятилетия. </w:t>
      </w:r>
    </w:p>
    <w:p w14:paraId="231D2C06" w14:textId="07A66523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В некоторых случаях необходимо предусмотреть создание национальной административной/координационной функции управления проектами и обеспечить необходимую координацию деятельности национальных партнеров на национальном уровне, а также ее постоянную координацию с международными проектами и программами. Как представляется, наиболее оптимальным способом выполнения этих и </w:t>
      </w:r>
      <w:proofErr w:type="gramStart"/>
      <w:r w:rsidRPr="00C80F4C">
        <w:rPr>
          <w:rFonts w:ascii="Arial" w:hAnsi="Arial" w:cs="Arial"/>
          <w:lang w:val="ru-RU"/>
        </w:rPr>
        <w:t>других административных функций</w:t>
      </w:r>
      <w:proofErr w:type="gramEnd"/>
      <w:r w:rsidRPr="00C80F4C">
        <w:rPr>
          <w:rFonts w:ascii="Arial" w:hAnsi="Arial" w:cs="Arial"/>
          <w:lang w:val="ru-RU"/>
        </w:rPr>
        <w:t xml:space="preserve"> и задач планирования является создание национального секретариата/комитетов для поддержки мероприятий Десятилетия.</w:t>
      </w:r>
    </w:p>
    <w:p w14:paraId="312E97FB" w14:textId="359D6969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lastRenderedPageBreak/>
        <w:t>Функции национальных комитетов Десятилетия могут заключаться в следующем:</w:t>
      </w:r>
    </w:p>
    <w:p w14:paraId="63893BB1" w14:textId="317FDA6A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работа в качестве канала передачи информации от структуры управления Десятилетием научному сообществу на национальном уровне в целях повышения осведомленности и заинтересованности;</w:t>
      </w:r>
    </w:p>
    <w:p w14:paraId="46F54528" w14:textId="1DCCB4C5" w:rsidR="00722329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подготовка на национальном уровне материалов для структуры Десятилетия в целях разработки его программы;</w:t>
      </w:r>
    </w:p>
    <w:p w14:paraId="22C3E865" w14:textId="513F98FF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содействие планированию и осуществлению мероприятий на национальном уровне;</w:t>
      </w:r>
    </w:p>
    <w:p w14:paraId="50B71E2B" w14:textId="0FDD47A8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обеспечение доступа международного сообщества к результатам национальных мероприятий в рамках Десятилетия (в соответствии со стандартами, которые будут определены позднее);</w:t>
      </w:r>
    </w:p>
    <w:p w14:paraId="1C0D294C" w14:textId="3712A36A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ведущая роль в области информационно-просветительской деятельности, образования и коммуникации на национальном уровне;</w:t>
      </w:r>
    </w:p>
    <w:p w14:paraId="3FF5FBA3" w14:textId="6113F9DD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t>поощрение и содействие выделению необходимых национальных средств и материально-технической поддержки для осуществления национальных мероприятий, способствующих проведению Десятилетия;</w:t>
      </w:r>
    </w:p>
    <w:p w14:paraId="5AC36A70" w14:textId="0A2B40AF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поощрение участия </w:t>
      </w:r>
      <w:r w:rsidR="006B104A" w:rsidRPr="00C80F4C">
        <w:rPr>
          <w:rFonts w:ascii="Arial" w:hAnsi="Arial" w:cs="Arial"/>
          <w:lang w:val="ru-RU"/>
        </w:rPr>
        <w:t xml:space="preserve">государств </w:t>
      </w:r>
      <w:r w:rsidRPr="00C80F4C">
        <w:rPr>
          <w:rFonts w:ascii="Arial" w:hAnsi="Arial" w:cs="Arial"/>
          <w:lang w:val="ru-RU"/>
        </w:rPr>
        <w:t>в покрытии расходов на международную координацию;</w:t>
      </w:r>
    </w:p>
    <w:p w14:paraId="15D73CCE" w14:textId="0F7C4F3E" w:rsidR="00DF16BD" w:rsidRPr="00C80F4C" w:rsidRDefault="00E952D4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оказание помощи структуре управления Десятилетием в планировании, осуществлении и реализации мероприятий;</w:t>
      </w:r>
    </w:p>
    <w:p w14:paraId="21E9E5B4" w14:textId="2EF8C5FB" w:rsidR="00E54F6B" w:rsidRPr="00C80F4C" w:rsidRDefault="00E952D4" w:rsidP="008046B6">
      <w:pPr>
        <w:pStyle w:val="ListParagraph"/>
        <w:numPr>
          <w:ilvl w:val="0"/>
          <w:numId w:val="1"/>
        </w:numPr>
        <w:spacing w:after="24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содействие проведению в странах региональных или международных совещаний, связанных с Десятилетием.</w:t>
      </w:r>
    </w:p>
    <w:p w14:paraId="0AB05873" w14:textId="3C7E28E8" w:rsidR="00A9064B" w:rsidRPr="00B406B9" w:rsidRDefault="00A9064B" w:rsidP="008046B6">
      <w:pPr>
        <w:pStyle w:val="ListParagraph"/>
        <w:numPr>
          <w:ilvl w:val="0"/>
          <w:numId w:val="11"/>
        </w:numPr>
        <w:spacing w:before="360" w:after="240" w:line="240" w:lineRule="auto"/>
        <w:contextualSpacing w:val="0"/>
        <w:rPr>
          <w:rFonts w:ascii="Arial" w:hAnsi="Arial" w:cs="Arial"/>
          <w:b/>
        </w:rPr>
      </w:pPr>
      <w:bookmarkStart w:id="3" w:name="3.3.3_Engaging_the_science_community_mor"/>
      <w:bookmarkStart w:id="4" w:name="3.4_Communication_and_the_Decade_consult"/>
      <w:bookmarkStart w:id="5" w:name="3.4.1_Consultation_Workshops"/>
      <w:bookmarkEnd w:id="3"/>
      <w:bookmarkEnd w:id="4"/>
      <w:bookmarkEnd w:id="5"/>
      <w:r w:rsidRPr="00B406B9">
        <w:rPr>
          <w:rFonts w:ascii="Arial" w:hAnsi="Arial" w:cs="Arial"/>
          <w:b/>
          <w:bCs/>
          <w:lang w:val="ru-RU"/>
        </w:rPr>
        <w:t>МЕХАНИЗМЫ ОСУЩЕСТВЛЕНИЯ</w:t>
      </w:r>
    </w:p>
    <w:p w14:paraId="1607F578" w14:textId="77777777" w:rsidR="00DF16BD" w:rsidRPr="00B406B9" w:rsidRDefault="00DF16BD" w:rsidP="00BD72BE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06B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Вклад в координацию проектов Десятилетия</w:t>
      </w:r>
    </w:p>
    <w:p w14:paraId="4A60BA7C" w14:textId="7D2D8F51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Для осуществления любой инициативы, будь то Десятилетие или крупная исследовательская программа, необходим базовый объем средств для создания структур и обеспечения их функционирования. В зависимости от охвата и масштабов инициативы может потребоваться увеличение этого базового объема, который с </w:t>
      </w:r>
      <w:r w:rsidR="005C7A71">
        <w:rPr>
          <w:rFonts w:ascii="Arial" w:hAnsi="Arial" w:cs="Arial"/>
          <w:lang w:val="ru-RU"/>
        </w:rPr>
        <w:t>больш</w:t>
      </w:r>
      <w:r w:rsidR="005C7A71" w:rsidRPr="00C80F4C">
        <w:rPr>
          <w:rFonts w:ascii="Arial" w:hAnsi="Arial" w:cs="Arial"/>
          <w:lang w:val="ru-RU"/>
        </w:rPr>
        <w:t xml:space="preserve">ой </w:t>
      </w:r>
      <w:r w:rsidRPr="00C80F4C">
        <w:rPr>
          <w:rFonts w:ascii="Arial" w:hAnsi="Arial" w:cs="Arial"/>
          <w:lang w:val="ru-RU"/>
        </w:rPr>
        <w:t xml:space="preserve">вероятностью будет </w:t>
      </w:r>
      <w:r w:rsidR="005C7A71">
        <w:rPr>
          <w:rFonts w:ascii="Arial" w:hAnsi="Arial" w:cs="Arial"/>
          <w:lang w:val="ru-RU"/>
        </w:rPr>
        <w:t>дис</w:t>
      </w:r>
      <w:r w:rsidR="005C7A71" w:rsidRPr="00C80F4C">
        <w:rPr>
          <w:rFonts w:ascii="Arial" w:hAnsi="Arial" w:cs="Arial"/>
          <w:lang w:val="ru-RU"/>
        </w:rPr>
        <w:t xml:space="preserve">пропорционально </w:t>
      </w:r>
      <w:r w:rsidR="005C7A71">
        <w:rPr>
          <w:rFonts w:ascii="Arial" w:hAnsi="Arial" w:cs="Arial"/>
          <w:lang w:val="ru-RU"/>
        </w:rPr>
        <w:t>ориентирован</w:t>
      </w:r>
      <w:r w:rsidR="005C7A71" w:rsidRPr="00C80F4C">
        <w:rPr>
          <w:rFonts w:ascii="Arial" w:hAnsi="Arial" w:cs="Arial"/>
          <w:lang w:val="ru-RU"/>
        </w:rPr>
        <w:t xml:space="preserve"> </w:t>
      </w:r>
      <w:r w:rsidRPr="00C80F4C">
        <w:rPr>
          <w:rFonts w:ascii="Arial" w:hAnsi="Arial" w:cs="Arial"/>
          <w:lang w:val="ru-RU"/>
        </w:rPr>
        <w:t>на начальн</w:t>
      </w:r>
      <w:r w:rsidR="005C7A71">
        <w:rPr>
          <w:rFonts w:ascii="Arial" w:hAnsi="Arial" w:cs="Arial"/>
          <w:lang w:val="ru-RU"/>
        </w:rPr>
        <w:t>ый</w:t>
      </w:r>
      <w:r w:rsidRPr="00C80F4C">
        <w:rPr>
          <w:rFonts w:ascii="Arial" w:hAnsi="Arial" w:cs="Arial"/>
          <w:lang w:val="ru-RU"/>
        </w:rPr>
        <w:t xml:space="preserve"> этап в ожидании поступления запланированных взносов. Привлечение средств для обеспечения функций координации и административного руководства на уровне портфеля (уровень инициативы) должно осуществляться на централизо</w:t>
      </w:r>
      <w:r w:rsidR="001565D3" w:rsidRPr="00C80F4C">
        <w:rPr>
          <w:rFonts w:ascii="Arial" w:hAnsi="Arial" w:cs="Arial"/>
          <w:lang w:val="ru-RU"/>
        </w:rPr>
        <w:t xml:space="preserve">ванной основе (см. </w:t>
      </w:r>
      <w:hyperlink w:anchor="fig_1" w:history="1">
        <w:r w:rsidR="001565D3" w:rsidRPr="00C80F4C">
          <w:rPr>
            <w:rStyle w:val="Hyperlink"/>
            <w:rFonts w:ascii="Arial" w:hAnsi="Arial" w:cs="Arial"/>
            <w:lang w:val="ru-RU"/>
          </w:rPr>
          <w:t>рис. 1</w:t>
        </w:r>
      </w:hyperlink>
      <w:r w:rsidR="001565D3" w:rsidRPr="00C80F4C">
        <w:rPr>
          <w:rFonts w:ascii="Arial" w:hAnsi="Arial" w:cs="Arial"/>
          <w:lang w:val="ru-RU"/>
        </w:rPr>
        <w:t>), так</w:t>
      </w:r>
      <w:r w:rsidRPr="00C80F4C">
        <w:rPr>
          <w:rFonts w:ascii="Arial" w:hAnsi="Arial" w:cs="Arial"/>
          <w:lang w:val="ru-RU"/>
        </w:rPr>
        <w:t>же как и некоторых функций на уровне программы (например, в случае невозможности или нецелесообразности финансирования программы исключительно за счет добровольных взносов).</w:t>
      </w:r>
    </w:p>
    <w:p w14:paraId="7BDF023B" w14:textId="7FC46568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В целом предложения по программам и проектам Десятилетия должны включать </w:t>
      </w:r>
      <w:proofErr w:type="spellStart"/>
      <w:r w:rsidRPr="00C80F4C">
        <w:rPr>
          <w:rFonts w:ascii="Arial" w:hAnsi="Arial" w:cs="Arial"/>
          <w:lang w:val="ru-RU"/>
        </w:rPr>
        <w:t>упоминавшиеся</w:t>
      </w:r>
      <w:proofErr w:type="spellEnd"/>
      <w:r w:rsidRPr="00C80F4C">
        <w:rPr>
          <w:rFonts w:ascii="Arial" w:hAnsi="Arial" w:cs="Arial"/>
          <w:lang w:val="ru-RU"/>
        </w:rPr>
        <w:t xml:space="preserve"> выше аргум</w:t>
      </w:r>
      <w:r w:rsidR="006A2354">
        <w:rPr>
          <w:rFonts w:ascii="Arial" w:hAnsi="Arial" w:cs="Arial"/>
          <w:lang w:val="ru-RU"/>
        </w:rPr>
        <w:t>енты в пользу их реализации, т.</w:t>
      </w:r>
      <w:r w:rsidRPr="00C80F4C">
        <w:rPr>
          <w:rFonts w:ascii="Arial" w:hAnsi="Arial" w:cs="Arial"/>
          <w:lang w:val="ru-RU"/>
        </w:rPr>
        <w:t xml:space="preserve">е. конкретные цели и задачи, ожидаемые результаты, основные этапы и положительное воздействие на уровне программы/проекта и всего Десятилетия, а также план привлечения средств. По мере возможности координация и административная деятельность должны </w:t>
      </w:r>
      <w:r w:rsidR="006E4309" w:rsidRPr="00C80F4C">
        <w:rPr>
          <w:rFonts w:ascii="Arial" w:hAnsi="Arial" w:cs="Arial"/>
          <w:lang w:val="ru-RU"/>
        </w:rPr>
        <w:t>быть децентрализованы и осуществляться</w:t>
      </w:r>
      <w:r w:rsidRPr="00C80F4C">
        <w:rPr>
          <w:rFonts w:ascii="Arial" w:hAnsi="Arial" w:cs="Arial"/>
          <w:lang w:val="ru-RU"/>
        </w:rPr>
        <w:t xml:space="preserve"> на уровне программы или проекта.</w:t>
      </w:r>
    </w:p>
    <w:p w14:paraId="356593CF" w14:textId="77777777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Формы финансирования связанных с такой деятельностью расходов могут быть самыми разными:</w:t>
      </w:r>
    </w:p>
    <w:p w14:paraId="14E44824" w14:textId="57E00133" w:rsidR="00DF16BD" w:rsidRPr="00C80F4C" w:rsidRDefault="00DF16BD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национальные, региональные или иные взносы в натуральной форме в виде </w:t>
      </w:r>
      <w:r w:rsidR="000B307B" w:rsidRPr="00C80F4C">
        <w:rPr>
          <w:rFonts w:ascii="Arial" w:hAnsi="Arial" w:cs="Arial"/>
          <w:lang w:val="ru-RU"/>
        </w:rPr>
        <w:t xml:space="preserve">организации и </w:t>
      </w:r>
      <w:r w:rsidRPr="00C80F4C">
        <w:rPr>
          <w:rFonts w:ascii="Arial" w:hAnsi="Arial" w:cs="Arial"/>
          <w:lang w:val="ru-RU"/>
        </w:rPr>
        <w:t xml:space="preserve">приема в </w:t>
      </w:r>
      <w:r w:rsidR="006E4309" w:rsidRPr="00C80F4C">
        <w:rPr>
          <w:rFonts w:ascii="Arial" w:hAnsi="Arial" w:cs="Arial"/>
          <w:lang w:val="ru-RU"/>
        </w:rPr>
        <w:t xml:space="preserve">своей </w:t>
      </w:r>
      <w:r w:rsidRPr="00C80F4C">
        <w:rPr>
          <w:rFonts w:ascii="Arial" w:hAnsi="Arial" w:cs="Arial"/>
          <w:lang w:val="ru-RU"/>
        </w:rPr>
        <w:t>стране научных совещаний, семинаров и т.п.;</w:t>
      </w:r>
    </w:p>
    <w:p w14:paraId="14B03BB0" w14:textId="796CFFCE" w:rsidR="00DF16BD" w:rsidRPr="00C80F4C" w:rsidRDefault="00DF16BD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lastRenderedPageBreak/>
        <w:t>национальные, региональные или иные взносы в натуральной форме в виде оплаты транспортных расходов и деятельности, связанных с проведением научных совещаний, семинаров и т.п.;</w:t>
      </w:r>
    </w:p>
    <w:p w14:paraId="47EE81AA" w14:textId="659E7C7E" w:rsidR="00DF16BD" w:rsidRPr="00C80F4C" w:rsidRDefault="00DF16BD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размещение в своей стране бюро по проектам или программам Десятилетия;</w:t>
      </w:r>
    </w:p>
    <w:p w14:paraId="23F12F7A" w14:textId="720B003F" w:rsidR="00DF16BD" w:rsidRPr="00C80F4C" w:rsidRDefault="00DF16BD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включение соответствующих административных и координационных функций, связанных с проведением Десятилетия, в мандат уже существующего вспомогательного механизма (например</w:t>
      </w:r>
      <w:r w:rsidR="00B3666B" w:rsidRPr="00C80F4C">
        <w:rPr>
          <w:rFonts w:ascii="Arial" w:hAnsi="Arial" w:cs="Arial"/>
          <w:lang w:val="ru-RU"/>
        </w:rPr>
        <w:t>,</w:t>
      </w:r>
      <w:r w:rsidRPr="00C80F4C">
        <w:rPr>
          <w:rFonts w:ascii="Arial" w:hAnsi="Arial" w:cs="Arial"/>
          <w:lang w:val="ru-RU"/>
        </w:rPr>
        <w:t xml:space="preserve"> регионального бюро по проектам МОК);</w:t>
      </w:r>
    </w:p>
    <w:p w14:paraId="76B71131" w14:textId="7C684CAF" w:rsidR="00DF16BD" w:rsidRPr="00C80F4C" w:rsidRDefault="00DF16BD" w:rsidP="008046B6">
      <w:pPr>
        <w:pStyle w:val="ListParagraph"/>
        <w:numPr>
          <w:ilvl w:val="0"/>
          <w:numId w:val="1"/>
        </w:numPr>
        <w:spacing w:after="12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прикомандирование или выделение сотрудников для оказания поддержки центральным и/или децентрализованным подразделениям;</w:t>
      </w:r>
    </w:p>
    <w:p w14:paraId="681B75A4" w14:textId="4852D0AE" w:rsidR="00DF16BD" w:rsidRPr="00C80F4C" w:rsidRDefault="00DF16BD" w:rsidP="008046B6">
      <w:pPr>
        <w:pStyle w:val="ListParagraph"/>
        <w:numPr>
          <w:ilvl w:val="0"/>
          <w:numId w:val="1"/>
        </w:numPr>
        <w:spacing w:after="240" w:line="240" w:lineRule="auto"/>
        <w:ind w:left="1276" w:hanging="578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прямые финансовые взносы в специальный централизованный фонд Десятилетия или аналогичный фонд, созданный при децентрализованном подразделении.</w:t>
      </w:r>
    </w:p>
    <w:p w14:paraId="5703ABD0" w14:textId="666A8EFA" w:rsidR="00DF16BD" w:rsidRPr="0076169F" w:rsidRDefault="00DF16BD" w:rsidP="00BD72BE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6169F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Поддержка национальных мероприятий и проектов в рамках Десятилетия</w:t>
      </w:r>
    </w:p>
    <w:p w14:paraId="42E336D6" w14:textId="5E897F3A" w:rsidR="00DF16BD" w:rsidRPr="00C80F4C" w:rsidRDefault="00DF16B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Ресурсное обеспечение мероприятий и проектов Десятилетия является серьезной задачей, гораздо более масштабной, чем задача поддержки координационной работы. Большая часть такой поддержки будет осуществляться в форме определяемой на национальном уровне добровольной помощи, такой как организация морских исследовательских экспедиций, </w:t>
      </w:r>
      <w:r w:rsidR="00B3666B" w:rsidRPr="00C80F4C">
        <w:rPr>
          <w:rFonts w:ascii="Arial" w:hAnsi="Arial" w:cs="Arial"/>
          <w:lang w:val="ru-RU"/>
        </w:rPr>
        <w:t xml:space="preserve">задействование </w:t>
      </w:r>
      <w:r w:rsidRPr="00C80F4C">
        <w:rPr>
          <w:rFonts w:ascii="Arial" w:hAnsi="Arial" w:cs="Arial"/>
          <w:lang w:val="ru-RU"/>
        </w:rPr>
        <w:t>национальных сетей для ведения исследований и устойчивых наблюдений, подготовка технических специалистов, предоставление систем данных, финансируемые на национальном</w:t>
      </w:r>
      <w:r w:rsidR="006A2354">
        <w:rPr>
          <w:rFonts w:ascii="Arial" w:hAnsi="Arial" w:cs="Arial"/>
          <w:lang w:val="ru-RU"/>
        </w:rPr>
        <w:t xml:space="preserve"> уровне научные проекты и т.</w:t>
      </w:r>
      <w:r w:rsidRPr="00C80F4C">
        <w:rPr>
          <w:rFonts w:ascii="Arial" w:hAnsi="Arial" w:cs="Arial"/>
          <w:lang w:val="ru-RU"/>
        </w:rPr>
        <w:t xml:space="preserve">д. Такие мероприятия, как правило, будут утверждаться и финансироваться через национальные механизмы, однако могут получать поддержку и через механизмы регионального и международного финансирования, при этом участие в проведении Десятилетия может рассматриваться как конечная цель или обоснование проекта. </w:t>
      </w:r>
    </w:p>
    <w:p w14:paraId="03AC3516" w14:textId="2C1C8DD6" w:rsidR="00E66FBA" w:rsidRPr="000B307B" w:rsidRDefault="00E66FBA" w:rsidP="008046B6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0B307B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Проведение Десятилетия на глобальном уровне</w:t>
      </w:r>
    </w:p>
    <w:p w14:paraId="0FA35B37" w14:textId="479AD539" w:rsidR="00DF16BD" w:rsidRPr="000B307B" w:rsidRDefault="00E66FBA" w:rsidP="008046B6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0B307B">
        <w:rPr>
          <w:rFonts w:ascii="Arial" w:hAnsi="Arial" w:cs="Arial"/>
          <w:sz w:val="22"/>
          <w:szCs w:val="22"/>
          <w:lang w:val="ru-RU"/>
        </w:rPr>
        <w:t xml:space="preserve">В Секретариате МОК в Париже можно было бы создать координационный центр Десятилетия, который будет осуществлять надзор за выполнением плана его проведения, выполнять функции секретариата Совета/Совета управляющих Десятилетия и форума заинтересованных сторон. Помимо представления докладов руководящим органам МОК и Организации Объединенных Наций данный секретариат будет играть инициативную роль в привлечении дополнительных </w:t>
      </w:r>
      <w:r w:rsidR="00B3666B" w:rsidRPr="000B307B">
        <w:rPr>
          <w:rFonts w:ascii="Arial" w:hAnsi="Arial" w:cs="Arial"/>
          <w:sz w:val="22"/>
          <w:szCs w:val="22"/>
          <w:lang w:val="ru-RU"/>
        </w:rPr>
        <w:t xml:space="preserve">взносов </w:t>
      </w:r>
      <w:r w:rsidRPr="000B307B">
        <w:rPr>
          <w:rFonts w:ascii="Arial" w:hAnsi="Arial" w:cs="Arial"/>
          <w:sz w:val="22"/>
          <w:szCs w:val="22"/>
          <w:lang w:val="ru-RU"/>
        </w:rPr>
        <w:t xml:space="preserve">и </w:t>
      </w:r>
      <w:r w:rsidR="000B307B">
        <w:rPr>
          <w:rFonts w:ascii="Arial" w:hAnsi="Arial" w:cs="Arial"/>
          <w:sz w:val="22"/>
          <w:szCs w:val="22"/>
          <w:lang w:val="ru-RU"/>
        </w:rPr>
        <w:t xml:space="preserve">установлении </w:t>
      </w:r>
      <w:r w:rsidRPr="000B307B">
        <w:rPr>
          <w:rFonts w:ascii="Arial" w:hAnsi="Arial" w:cs="Arial"/>
          <w:sz w:val="22"/>
          <w:szCs w:val="22"/>
          <w:lang w:val="ru-RU"/>
        </w:rPr>
        <w:t xml:space="preserve">партнерских связей в поддержку Десятилетия, а также руководить коммуникацией и информационно-просветительской деятельностью на глобальном уровне. Минимальное штатное расписание такой координационной структуры должно включать координатора уровня Р-5, который будет руководить ее деятельностью при поддержке специалиста по программам уровня Р-3, отвечающего за административное управление мероприятиями и партнерскими связями, специалиста по коммуникации уровня Р-1/Р-2 и административного помощника. С учетом </w:t>
      </w:r>
      <w:r w:rsidR="00F7441F" w:rsidRPr="000B307B">
        <w:rPr>
          <w:rFonts w:ascii="Arial" w:hAnsi="Arial" w:cs="Arial"/>
          <w:sz w:val="22"/>
          <w:szCs w:val="22"/>
          <w:lang w:val="ru-RU"/>
        </w:rPr>
        <w:t>текущего финансового положения О</w:t>
      </w:r>
      <w:r w:rsidRPr="000B307B">
        <w:rPr>
          <w:rFonts w:ascii="Arial" w:hAnsi="Arial" w:cs="Arial"/>
          <w:sz w:val="22"/>
          <w:szCs w:val="22"/>
          <w:lang w:val="ru-RU"/>
        </w:rPr>
        <w:t>рганизации эти должности, скорее всего, будут финансироваться за счет внебюджетных взносов.</w:t>
      </w:r>
    </w:p>
    <w:p w14:paraId="1728BBB5" w14:textId="3716819E" w:rsidR="00097FA4" w:rsidRPr="0076169F" w:rsidRDefault="00097FA4" w:rsidP="0076169F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76169F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Международные программы и проекты</w:t>
      </w:r>
    </w:p>
    <w:p w14:paraId="10B5DB69" w14:textId="3374A7BA" w:rsidR="00097FA4" w:rsidRPr="00C80F4C" w:rsidRDefault="00097FA4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В рамках Десятилетия будет приветствоваться осуществление его программ и проектов государствами-членами на основе прямой поддержки. Проекты, соответствующие планам Десятилетия, должны отличаться высоким уровнем наглядности и/или иметь приоритетный характер для национальных или региональных механизмов финансирования.</w:t>
      </w:r>
    </w:p>
    <w:p w14:paraId="34F08D5C" w14:textId="44E1D115" w:rsidR="00FF0CC8" w:rsidRPr="00C80F4C" w:rsidRDefault="003449CD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МОК может осуществлять функции выполнения программы через свои децентрализованные подразделения (региональные, программные или проектные бюро). МОК обладает обширным опытом работы с такими механизмами, у Комиссии также имеется общая рамочная структура и меморандумы о взаимопонимании, на основании которых функционируют региональные, программные и проектные бюро.</w:t>
      </w:r>
    </w:p>
    <w:p w14:paraId="58709B84" w14:textId="0C14C140" w:rsidR="00861CF9" w:rsidRPr="00C80F4C" w:rsidRDefault="00D4777C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lastRenderedPageBreak/>
        <w:t>Поддержка со стороны МОК/ЮНЕСКО деятельности бюро по проектам/программам/координационного бюро оказывается на основе существующих правовых/финансовых/аудиторских/контрактных механизмов/инструментов МОК/ЮНЕСКО и установленного порядка оказания такой поддержки. Она также включает оценку результатов и механизмы, касающиеся прекращения деятельности бюро.</w:t>
      </w:r>
    </w:p>
    <w:p w14:paraId="34C99FF5" w14:textId="54E4D25F" w:rsidR="001309F0" w:rsidRPr="00C80F4C" w:rsidRDefault="003944E4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Механизмы партнерства МОК функционируют на основе и в соответствии со всеобъемлющей стратегией партнерства ЮНЕСКО (документ </w:t>
      </w:r>
      <w:hyperlink r:id="rId14" w:history="1">
        <w:r w:rsidRPr="00C80F4C">
          <w:rPr>
            <w:rStyle w:val="Hyperlink"/>
            <w:rFonts w:ascii="Arial" w:hAnsi="Arial" w:cs="Arial"/>
            <w:lang w:val="ru-RU"/>
          </w:rPr>
          <w:t>192 EX/5.INF</w:t>
        </w:r>
      </w:hyperlink>
      <w:r w:rsidRPr="00C80F4C">
        <w:rPr>
          <w:rFonts w:ascii="Arial" w:hAnsi="Arial" w:cs="Arial"/>
          <w:lang w:val="ru-RU"/>
        </w:rPr>
        <w:t>) и сопровождающими ее отдельными стратегиями и руководящими принципами взаимодействия с (i) частным сектором, (</w:t>
      </w:r>
      <w:proofErr w:type="spellStart"/>
      <w:r w:rsidRPr="00C80F4C">
        <w:rPr>
          <w:rFonts w:ascii="Arial" w:hAnsi="Arial" w:cs="Arial"/>
          <w:lang w:val="ru-RU"/>
        </w:rPr>
        <w:t>ii</w:t>
      </w:r>
      <w:proofErr w:type="spellEnd"/>
      <w:r w:rsidRPr="00C80F4C">
        <w:rPr>
          <w:rFonts w:ascii="Arial" w:hAnsi="Arial" w:cs="Arial"/>
          <w:lang w:val="ru-RU"/>
        </w:rPr>
        <w:t>) двусторонними партнерами по финансированию, (</w:t>
      </w:r>
      <w:proofErr w:type="spellStart"/>
      <w:r w:rsidRPr="00C80F4C">
        <w:rPr>
          <w:rFonts w:ascii="Arial" w:hAnsi="Arial" w:cs="Arial"/>
          <w:lang w:val="ru-RU"/>
        </w:rPr>
        <w:t>iii</w:t>
      </w:r>
      <w:proofErr w:type="spellEnd"/>
      <w:r w:rsidRPr="00C80F4C">
        <w:rPr>
          <w:rFonts w:ascii="Arial" w:hAnsi="Arial" w:cs="Arial"/>
          <w:lang w:val="ru-RU"/>
        </w:rPr>
        <w:t>) НПО, (</w:t>
      </w:r>
      <w:proofErr w:type="spellStart"/>
      <w:r w:rsidRPr="00C80F4C">
        <w:rPr>
          <w:rFonts w:ascii="Arial" w:hAnsi="Arial" w:cs="Arial"/>
          <w:lang w:val="ru-RU"/>
        </w:rPr>
        <w:t>iv</w:t>
      </w:r>
      <w:proofErr w:type="spellEnd"/>
      <w:r w:rsidRPr="00C80F4C">
        <w:rPr>
          <w:rFonts w:ascii="Arial" w:hAnsi="Arial" w:cs="Arial"/>
          <w:lang w:val="ru-RU"/>
        </w:rPr>
        <w:t>) средствами информации, (v) парламентариями, (</w:t>
      </w:r>
      <w:proofErr w:type="spellStart"/>
      <w:r w:rsidRPr="00C80F4C">
        <w:rPr>
          <w:rFonts w:ascii="Arial" w:hAnsi="Arial" w:cs="Arial"/>
          <w:lang w:val="ru-RU"/>
        </w:rPr>
        <w:t>vi</w:t>
      </w:r>
      <w:proofErr w:type="spellEnd"/>
      <w:r w:rsidRPr="00C80F4C">
        <w:rPr>
          <w:rFonts w:ascii="Arial" w:hAnsi="Arial" w:cs="Arial"/>
          <w:lang w:val="ru-RU"/>
        </w:rPr>
        <w:t>) ассоциациями, центрами и клубами ЮНЕСКО, (</w:t>
      </w:r>
      <w:proofErr w:type="spellStart"/>
      <w:r w:rsidRPr="00C80F4C">
        <w:rPr>
          <w:rFonts w:ascii="Arial" w:hAnsi="Arial" w:cs="Arial"/>
          <w:lang w:val="ru-RU"/>
        </w:rPr>
        <w:t>vii</w:t>
      </w:r>
      <w:proofErr w:type="spellEnd"/>
      <w:r w:rsidRPr="00C80F4C">
        <w:rPr>
          <w:rFonts w:ascii="Arial" w:hAnsi="Arial" w:cs="Arial"/>
          <w:lang w:val="ru-RU"/>
        </w:rPr>
        <w:t>) университетами и другими высшими учебными заведениями и научно-исследовательскими учреждениями в области высшего образования, (</w:t>
      </w:r>
      <w:proofErr w:type="spellStart"/>
      <w:r w:rsidRPr="00C80F4C">
        <w:rPr>
          <w:rFonts w:ascii="Arial" w:hAnsi="Arial" w:cs="Arial"/>
          <w:lang w:val="ru-RU"/>
        </w:rPr>
        <w:t>viii</w:t>
      </w:r>
      <w:proofErr w:type="spellEnd"/>
      <w:r w:rsidRPr="00C80F4C">
        <w:rPr>
          <w:rFonts w:ascii="Arial" w:hAnsi="Arial" w:cs="Arial"/>
          <w:lang w:val="ru-RU"/>
        </w:rPr>
        <w:t xml:space="preserve">) проектом </w:t>
      </w:r>
      <w:r w:rsidR="00C46D4D">
        <w:rPr>
          <w:rFonts w:ascii="Arial" w:hAnsi="Arial" w:cs="Arial"/>
          <w:lang w:val="ru-RU"/>
        </w:rPr>
        <w:t>«</w:t>
      </w:r>
      <w:r w:rsidRPr="00C80F4C">
        <w:rPr>
          <w:rFonts w:ascii="Arial" w:hAnsi="Arial" w:cs="Arial"/>
          <w:lang w:val="ru-RU"/>
        </w:rPr>
        <w:t>Сеть ассоциированных школ ЮНЕСКО</w:t>
      </w:r>
      <w:r w:rsidR="00C46D4D">
        <w:rPr>
          <w:rFonts w:ascii="Arial" w:hAnsi="Arial" w:cs="Arial"/>
          <w:lang w:val="ru-RU"/>
        </w:rPr>
        <w:t>»</w:t>
      </w:r>
      <w:r w:rsidRPr="00C80F4C">
        <w:rPr>
          <w:rFonts w:ascii="Arial" w:hAnsi="Arial" w:cs="Arial"/>
          <w:lang w:val="ru-RU"/>
        </w:rPr>
        <w:t xml:space="preserve"> и (</w:t>
      </w:r>
      <w:proofErr w:type="spellStart"/>
      <w:r w:rsidRPr="00C80F4C">
        <w:rPr>
          <w:rFonts w:ascii="Arial" w:hAnsi="Arial" w:cs="Arial"/>
          <w:lang w:val="ru-RU"/>
        </w:rPr>
        <w:t>ix</w:t>
      </w:r>
      <w:proofErr w:type="spellEnd"/>
      <w:r w:rsidRPr="00C80F4C">
        <w:rPr>
          <w:rFonts w:ascii="Arial" w:hAnsi="Arial" w:cs="Arial"/>
          <w:lang w:val="ru-RU"/>
        </w:rPr>
        <w:t>) почетными послами и послами доброй воли ЮНЕСКО.</w:t>
      </w:r>
    </w:p>
    <w:p w14:paraId="5E431270" w14:textId="35C39D8E" w:rsidR="000D63C0" w:rsidRPr="000A3DFA" w:rsidRDefault="00D966C7" w:rsidP="008046B6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0A3DFA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Процедура создания бюро по прог</w:t>
      </w:r>
      <w:r w:rsidR="009858FD" w:rsidRPr="000A3DFA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раммам/проектам/координационных </w:t>
      </w:r>
      <w:r w:rsidRPr="000A3DFA">
        <w:rPr>
          <w:rFonts w:ascii="Arial" w:hAnsi="Arial" w:cs="Arial"/>
          <w:b/>
          <w:bCs/>
          <w:sz w:val="22"/>
          <w:szCs w:val="22"/>
          <w:u w:val="single"/>
          <w:lang w:val="ru-RU"/>
        </w:rPr>
        <w:t>бюро Десятилетия</w:t>
      </w:r>
    </w:p>
    <w:p w14:paraId="1CA84EE7" w14:textId="0777BE71" w:rsidR="00F0143E" w:rsidRPr="00C80F4C" w:rsidRDefault="00AD74D6" w:rsidP="000E118A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Бюро по программам и проектам, а также координационные бюро Десятилетия, как правило, учреждаются на основании соглашения МОК и других структур ООН с принимающей страной и наделяются ограниченными функциями, связанными с программой или проектами. Они должны подвергаться регулярной оценке, связанной с четкими правилами завершения проектов.</w:t>
      </w:r>
    </w:p>
    <w:p w14:paraId="7FE7C729" w14:textId="2575D83A" w:rsidR="00AD74D6" w:rsidRDefault="00AD74D6" w:rsidP="000E118A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Для бюро по программам/проектам/координационных бюро Десятилетия могут быть определены следующие задачи: </w:t>
      </w:r>
    </w:p>
    <w:p w14:paraId="79D06887" w14:textId="17D19A5E" w:rsidR="00AD74D6" w:rsidRPr="00C80F4C" w:rsidRDefault="00AD74D6" w:rsidP="000E118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ind w:left="1418" w:hanging="709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осуществление проектов Десятилетия и координация разработки конкретных программ Десятилетия;</w:t>
      </w:r>
    </w:p>
    <w:p w14:paraId="4B46EDF7" w14:textId="3060C410" w:rsidR="00AD74D6" w:rsidRPr="00C80F4C" w:rsidRDefault="00AD74D6" w:rsidP="000E118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представление руководящим органам МОК, выступающей в качестве координатора Десятилетия, отчетности о ходе осуществления проектных мероприятий;</w:t>
      </w:r>
    </w:p>
    <w:p w14:paraId="7B23FE5C" w14:textId="27F4A4B4" w:rsidR="00AD74D6" w:rsidRPr="00C80F4C" w:rsidRDefault="00AD74D6" w:rsidP="000E118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планирование и организация совещаний, семинаров, курсов подготовки кадров и других </w:t>
      </w:r>
      <w:r w:rsidR="00D81F10">
        <w:rPr>
          <w:rFonts w:ascii="Arial" w:hAnsi="Arial" w:cs="Arial"/>
          <w:lang w:val="ru-RU"/>
        </w:rPr>
        <w:t>связанных с проектом</w:t>
      </w:r>
      <w:r w:rsidR="00D81F10" w:rsidRPr="00C80F4C" w:rsidDel="00D81F10">
        <w:rPr>
          <w:rFonts w:ascii="Arial" w:hAnsi="Arial" w:cs="Arial"/>
          <w:lang w:val="ru-RU"/>
        </w:rPr>
        <w:t xml:space="preserve"> </w:t>
      </w:r>
      <w:r w:rsidRPr="00C80F4C">
        <w:rPr>
          <w:rFonts w:ascii="Arial" w:hAnsi="Arial" w:cs="Arial"/>
          <w:lang w:val="ru-RU"/>
        </w:rPr>
        <w:t xml:space="preserve">мероприятий по созданию потенциала; </w:t>
      </w:r>
    </w:p>
    <w:p w14:paraId="2EE20343" w14:textId="5FADF03D" w:rsidR="006920F6" w:rsidRPr="00C80F4C" w:rsidRDefault="006920F6" w:rsidP="000E118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содействие сотрудничеству с соответствующими программами МОК и другими проектами, другими соответствующими органами ООН и группами заинтересованных сторон в интересах выполнения плана проведения Десятилетия; </w:t>
      </w:r>
    </w:p>
    <w:p w14:paraId="25228102" w14:textId="6F5F47C2" w:rsidR="007C186F" w:rsidRPr="00C80F4C" w:rsidRDefault="00AD74D6" w:rsidP="000E118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ind w:left="1418" w:hanging="709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поиск партнеров и привлечение добровольных взносов для повышения </w:t>
      </w:r>
      <w:r w:rsidR="009858FD" w:rsidRPr="00C80F4C">
        <w:rPr>
          <w:rFonts w:ascii="Arial" w:hAnsi="Arial" w:cs="Arial"/>
          <w:lang w:val="ru-RU"/>
        </w:rPr>
        <w:t>эффективности процесса</w:t>
      </w:r>
      <w:r w:rsidRPr="00C80F4C">
        <w:rPr>
          <w:rFonts w:ascii="Arial" w:hAnsi="Arial" w:cs="Arial"/>
          <w:lang w:val="ru-RU"/>
        </w:rPr>
        <w:t xml:space="preserve"> осуществления и усиления воздействия. </w:t>
      </w:r>
    </w:p>
    <w:p w14:paraId="7A09AC0C" w14:textId="489A5C89" w:rsidR="006920F6" w:rsidRPr="00D81F10" w:rsidRDefault="006920F6" w:rsidP="000E118A">
      <w:pPr>
        <w:shd w:val="clear" w:color="auto" w:fill="FFFFFF"/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D81F10">
        <w:rPr>
          <w:rFonts w:ascii="Arial" w:hAnsi="Arial" w:cs="Arial"/>
          <w:sz w:val="22"/>
          <w:szCs w:val="22"/>
          <w:lang w:val="ru-RU"/>
        </w:rPr>
        <w:t>Такие подразделения должны рассматриваться в качестве гибкого механизма поддержки осуществления проектов на местах. Настоящий документ был подготовлен с тем, чтобы распространить информацию об общих минимальных требованиях, в то же время каждое учреждение/структура ООН может иметь свои собственные правила и процедуры, которые потребуют проведения переговоров по каждому конкретному случаю.</w:t>
      </w:r>
    </w:p>
    <w:p w14:paraId="0D1C3166" w14:textId="64DCC7E9" w:rsidR="007C186F" w:rsidRPr="000E118A" w:rsidRDefault="006920F6" w:rsidP="000E118A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0E118A">
        <w:rPr>
          <w:rFonts w:ascii="Arial" w:hAnsi="Arial" w:cs="Arial"/>
          <w:i/>
          <w:sz w:val="22"/>
          <w:szCs w:val="22"/>
          <w:u w:val="single"/>
          <w:lang w:val="ru-RU"/>
        </w:rPr>
        <w:t>Оценка потребностей</w:t>
      </w:r>
    </w:p>
    <w:p w14:paraId="47253B33" w14:textId="04EE352D" w:rsidR="006920F6" w:rsidRPr="00C80F4C" w:rsidRDefault="006920F6" w:rsidP="000E118A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Бюро по программам/проектам/координационные бюро должны создаваться в тех случаях, когда характер проекта требует конкретных технических средств и/или кадровых ресурсов, которых нет в Секретариате МОК (или которые трудно перевести на места), </w:t>
      </w:r>
      <w:proofErr w:type="gramStart"/>
      <w:r w:rsidRPr="00C80F4C">
        <w:rPr>
          <w:rFonts w:ascii="Arial" w:hAnsi="Arial" w:cs="Arial"/>
          <w:lang w:val="ru-RU"/>
        </w:rPr>
        <w:t>или</w:t>
      </w:r>
      <w:proofErr w:type="gramEnd"/>
      <w:r w:rsidRPr="00C80F4C">
        <w:rPr>
          <w:rFonts w:ascii="Arial" w:hAnsi="Arial" w:cs="Arial"/>
          <w:lang w:val="ru-RU"/>
        </w:rPr>
        <w:t xml:space="preserve"> когда проект с большей эффективностью или меньшими расходами можно осуществить в принимающем учреждении/принимающей стране. </w:t>
      </w:r>
    </w:p>
    <w:p w14:paraId="63B5F6F4" w14:textId="3550CA6C" w:rsidR="00AD74D6" w:rsidRPr="00C80F4C" w:rsidRDefault="006920F6" w:rsidP="000E118A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80F4C">
        <w:rPr>
          <w:rFonts w:ascii="Arial" w:hAnsi="Arial" w:cs="Arial"/>
          <w:lang w:val="ru-RU"/>
        </w:rPr>
        <w:lastRenderedPageBreak/>
        <w:t>Соответственно при оценке необходимости создания бюро по программам/проектам/координационного бюро в системе МОК/ЮНЕСКО следует представить доказательства того, что в Штаб-квартире МОК/ЮНЕСКО в Париже отсутствуют технические инфраструктуры и/или средства, а также кадровые ресурсы, необходимые для эффективного и действенного осуществления проекта, либо того, что их использование связано с более высокими расходами. Другие компоненты оценки могут включать расходы на проезд и проживание (суточные) приглашенных экспертов или расходы на сотрудников, работающих на условиях неполной ставки, имеющиеся помещения, близость к научным и другим экспертным сообществам. Расходы, связанные с оценкой потребностей/целесообразности должны покрываться партнером/ принимающей страной. Такая оценка будет утверждаться МОК/ЮНЕСКО.</w:t>
      </w:r>
    </w:p>
    <w:p w14:paraId="7D2DFE23" w14:textId="7911FF03" w:rsidR="004217AA" w:rsidRPr="00D81F10" w:rsidRDefault="004217AA" w:rsidP="000E118A">
      <w:pPr>
        <w:spacing w:after="24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D81F10">
        <w:rPr>
          <w:rFonts w:ascii="Arial" w:hAnsi="Arial" w:cs="Arial"/>
          <w:i/>
          <w:sz w:val="22"/>
          <w:szCs w:val="22"/>
          <w:u w:val="single"/>
          <w:lang w:val="ru-RU"/>
        </w:rPr>
        <w:t>Минимальные критерии размещения бюро по программам/проектам/координационных бюро</w:t>
      </w:r>
      <w:r w:rsidRPr="00D81F10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14:paraId="645DC729" w14:textId="77726F44" w:rsidR="007C186F" w:rsidRPr="00C80F4C" w:rsidRDefault="004217AA" w:rsidP="000E118A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Государство-член, которое желает разместить на своей территории бюро по программам/проектам/координационное бюро, могло бы по меньшей мере: </w:t>
      </w:r>
    </w:p>
    <w:p w14:paraId="5EE0396B" w14:textId="4271018A" w:rsidR="007C186F" w:rsidRPr="00D81F10" w:rsidRDefault="004217AA" w:rsidP="000E118A">
      <w:pPr>
        <w:spacing w:after="240"/>
        <w:ind w:left="1418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D81F10">
        <w:rPr>
          <w:rFonts w:ascii="Arial" w:hAnsi="Arial" w:cs="Arial"/>
          <w:sz w:val="22"/>
          <w:szCs w:val="22"/>
          <w:lang w:val="ru-RU"/>
        </w:rPr>
        <w:t xml:space="preserve">(i) </w:t>
      </w:r>
      <w:r w:rsidRPr="00D81F10">
        <w:rPr>
          <w:rFonts w:ascii="Arial" w:hAnsi="Arial" w:cs="Arial"/>
          <w:sz w:val="22"/>
          <w:szCs w:val="22"/>
          <w:lang w:val="ru-RU"/>
        </w:rPr>
        <w:tab/>
        <w:t xml:space="preserve">бесплатно предоставить МОК для использования служебные помещения и взять на себя оплату коммунальных услуг, а также оплату соответствующих налогов на срок действия соглашения и на период не менее 3 (трех) лет; </w:t>
      </w:r>
    </w:p>
    <w:p w14:paraId="687B71CF" w14:textId="474AC099" w:rsidR="004217AA" w:rsidRPr="00D81F10" w:rsidRDefault="004217AA" w:rsidP="000E118A">
      <w:pPr>
        <w:spacing w:after="240"/>
        <w:ind w:left="1418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D81F10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81F10">
        <w:rPr>
          <w:rFonts w:ascii="Arial" w:hAnsi="Arial" w:cs="Arial"/>
          <w:sz w:val="22"/>
          <w:szCs w:val="22"/>
          <w:lang w:val="ru-RU"/>
        </w:rPr>
        <w:t>ii</w:t>
      </w:r>
      <w:proofErr w:type="spellEnd"/>
      <w:r w:rsidRPr="00D81F10">
        <w:rPr>
          <w:rFonts w:ascii="Arial" w:hAnsi="Arial" w:cs="Arial"/>
          <w:sz w:val="22"/>
          <w:szCs w:val="22"/>
          <w:lang w:val="ru-RU"/>
        </w:rPr>
        <w:t xml:space="preserve">) </w:t>
      </w:r>
      <w:r w:rsidRPr="00D81F10">
        <w:rPr>
          <w:rFonts w:ascii="Arial" w:hAnsi="Arial" w:cs="Arial"/>
          <w:sz w:val="22"/>
          <w:szCs w:val="22"/>
          <w:lang w:val="ru-RU"/>
        </w:rPr>
        <w:tab/>
        <w:t>предоставить средства на оплату не менее [эквивалента] 1 (одного) руководителя отделения (персонал ООН) и [эквивалента] 1 местного вспомогательного сотрудника (секретаря). Поступившие от государств-членов предложения сопоставляются на конкурсной основе с учетом всех предлагаемых услуг и средств.</w:t>
      </w:r>
    </w:p>
    <w:p w14:paraId="7A22EE43" w14:textId="20E0582B" w:rsidR="00C709A0" w:rsidRPr="00C80F4C" w:rsidRDefault="00C709A0" w:rsidP="000E118A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>В идеале руководителем такого бюро должен быть сотрудник категории специалистов ООН (как минимум на уровне Р-5). Это потребует, как минимум, заключения соглашения о месте размещения и предоставления принимающими государствами-членами через МОК/</w:t>
      </w:r>
      <w:r w:rsidR="00B1132C">
        <w:rPr>
          <w:rFonts w:ascii="Arial" w:hAnsi="Arial" w:cs="Arial"/>
          <w:lang w:val="ru-RU"/>
        </w:rPr>
        <w:br/>
      </w:r>
      <w:r w:rsidRPr="00C80F4C">
        <w:rPr>
          <w:rFonts w:ascii="Arial" w:hAnsi="Arial" w:cs="Arial"/>
          <w:lang w:val="ru-RU"/>
        </w:rPr>
        <w:t>ЮНЕСКО финансовых средств для выплаты заработной платы и пособий руководителю бюро. Необходимо будет также разработать меморандум о взаимопонимании, четко определяющий обязанности сторон.</w:t>
      </w:r>
    </w:p>
    <w:p w14:paraId="3232D14B" w14:textId="2BDEEAD9" w:rsidR="00C709A0" w:rsidRPr="00C80F4C" w:rsidRDefault="00C709A0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Расходы на дополнительных сотрудников категории специалистов могут покрываться принимающей страной путем предоставления необходимых экспертов на постоянной или временной основе. Следует также поощрять привлечение стажеров, обладающих соответствующими техническими/специальными знаниями и опытом. </w:t>
      </w:r>
    </w:p>
    <w:p w14:paraId="677730BC" w14:textId="1B87AE49" w:rsidR="00C709A0" w:rsidRPr="00C80F4C" w:rsidRDefault="00D4777C" w:rsidP="008046B6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810"/>
        </w:tabs>
        <w:snapToGrid w:val="0"/>
        <w:spacing w:after="240" w:line="24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C80F4C">
        <w:rPr>
          <w:rFonts w:ascii="Arial" w:hAnsi="Arial" w:cs="Arial"/>
          <w:lang w:val="ru-RU"/>
        </w:rPr>
        <w:t xml:space="preserve">Ожидается, что финансирование бюро будет покрывать: </w:t>
      </w:r>
      <w:r w:rsidR="00B1132C" w:rsidRPr="00B1132C">
        <w:rPr>
          <w:rFonts w:ascii="Arial" w:hAnsi="Arial" w:cs="Arial"/>
          <w:lang w:val="ru-RU"/>
        </w:rPr>
        <w:t>(</w:t>
      </w:r>
      <w:r w:rsidRPr="00C80F4C">
        <w:rPr>
          <w:rFonts w:ascii="Arial" w:hAnsi="Arial" w:cs="Arial"/>
          <w:lang w:val="ru-RU"/>
        </w:rPr>
        <w:t>i) расходы на его создание, (</w:t>
      </w:r>
      <w:proofErr w:type="spellStart"/>
      <w:r w:rsidRPr="00C80F4C">
        <w:rPr>
          <w:rFonts w:ascii="Arial" w:hAnsi="Arial" w:cs="Arial"/>
          <w:lang w:val="ru-RU"/>
        </w:rPr>
        <w:t>ii</w:t>
      </w:r>
      <w:proofErr w:type="spellEnd"/>
      <w:r w:rsidRPr="00C80F4C">
        <w:rPr>
          <w:rFonts w:ascii="Arial" w:hAnsi="Arial" w:cs="Arial"/>
          <w:lang w:val="ru-RU"/>
        </w:rPr>
        <w:t>) расходы на функционирование и (</w:t>
      </w:r>
      <w:proofErr w:type="spellStart"/>
      <w:r w:rsidRPr="00C80F4C">
        <w:rPr>
          <w:rFonts w:ascii="Arial" w:hAnsi="Arial" w:cs="Arial"/>
          <w:lang w:val="ru-RU"/>
        </w:rPr>
        <w:t>iii</w:t>
      </w:r>
      <w:proofErr w:type="spellEnd"/>
      <w:r w:rsidRPr="00C80F4C">
        <w:rPr>
          <w:rFonts w:ascii="Arial" w:hAnsi="Arial" w:cs="Arial"/>
          <w:lang w:val="ru-RU"/>
        </w:rPr>
        <w:t xml:space="preserve">) расходы на </w:t>
      </w:r>
      <w:r w:rsidR="00476452">
        <w:rPr>
          <w:rFonts w:ascii="Arial" w:hAnsi="Arial" w:cs="Arial"/>
          <w:lang w:val="ru-RU"/>
        </w:rPr>
        <w:t>завершение деятельности</w:t>
      </w:r>
      <w:r w:rsidRPr="00C80F4C">
        <w:rPr>
          <w:rFonts w:ascii="Arial" w:hAnsi="Arial" w:cs="Arial"/>
          <w:lang w:val="ru-RU"/>
        </w:rPr>
        <w:t xml:space="preserve">. Предпочтение будет отдаваться тем странам, которые выразили желание и имеют </w:t>
      </w:r>
      <w:r w:rsidR="009858FD" w:rsidRPr="00C80F4C">
        <w:rPr>
          <w:rFonts w:ascii="Arial" w:hAnsi="Arial" w:cs="Arial"/>
          <w:lang w:val="ru-RU"/>
        </w:rPr>
        <w:t xml:space="preserve">возможности покрывать </w:t>
      </w:r>
      <w:r w:rsidRPr="00C80F4C">
        <w:rPr>
          <w:rFonts w:ascii="Arial" w:hAnsi="Arial" w:cs="Arial"/>
          <w:lang w:val="ru-RU"/>
        </w:rPr>
        <w:t>все расход</w:t>
      </w:r>
      <w:r w:rsidR="009858FD" w:rsidRPr="00C80F4C">
        <w:rPr>
          <w:rFonts w:ascii="Arial" w:hAnsi="Arial" w:cs="Arial"/>
          <w:lang w:val="ru-RU"/>
        </w:rPr>
        <w:t>ы</w:t>
      </w:r>
      <w:r w:rsidRPr="00C80F4C">
        <w:rPr>
          <w:rFonts w:ascii="Arial" w:hAnsi="Arial" w:cs="Arial"/>
          <w:lang w:val="ru-RU"/>
        </w:rPr>
        <w:t>, связанны</w:t>
      </w:r>
      <w:r w:rsidR="009858FD" w:rsidRPr="00C80F4C">
        <w:rPr>
          <w:rFonts w:ascii="Arial" w:hAnsi="Arial" w:cs="Arial"/>
          <w:lang w:val="ru-RU"/>
        </w:rPr>
        <w:t>е</w:t>
      </w:r>
      <w:r w:rsidRPr="00C80F4C">
        <w:rPr>
          <w:rFonts w:ascii="Arial" w:hAnsi="Arial" w:cs="Arial"/>
          <w:lang w:val="ru-RU"/>
        </w:rPr>
        <w:t xml:space="preserve"> с деятельностью бюро по проектам (расход</w:t>
      </w:r>
      <w:r w:rsidR="009858FD" w:rsidRPr="00C80F4C">
        <w:rPr>
          <w:rFonts w:ascii="Arial" w:hAnsi="Arial" w:cs="Arial"/>
          <w:lang w:val="ru-RU"/>
        </w:rPr>
        <w:t>ы</w:t>
      </w:r>
      <w:r w:rsidRPr="00C80F4C">
        <w:rPr>
          <w:rFonts w:ascii="Arial" w:hAnsi="Arial" w:cs="Arial"/>
          <w:lang w:val="ru-RU"/>
        </w:rPr>
        <w:t xml:space="preserve"> на функционирование). </w:t>
      </w:r>
    </w:p>
    <w:p w14:paraId="1597A8EC" w14:textId="519CB54F" w:rsidR="00377A16" w:rsidRPr="00476452" w:rsidRDefault="00CD32C8" w:rsidP="008046B6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476452">
        <w:rPr>
          <w:rFonts w:ascii="Arial" w:hAnsi="Arial" w:cs="Arial"/>
          <w:b/>
          <w:bCs/>
          <w:sz w:val="22"/>
          <w:szCs w:val="22"/>
          <w:lang w:val="ru-RU"/>
        </w:rPr>
        <w:t>Заключение</w:t>
      </w:r>
    </w:p>
    <w:p w14:paraId="11059F62" w14:textId="770EE76D" w:rsidR="00CD32C8" w:rsidRPr="00C80F4C" w:rsidRDefault="00377A16" w:rsidP="000E118A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76452">
        <w:rPr>
          <w:rFonts w:ascii="Arial" w:hAnsi="Arial" w:cs="Arial"/>
          <w:sz w:val="22"/>
          <w:szCs w:val="22"/>
          <w:lang w:val="ru-RU"/>
        </w:rPr>
        <w:t xml:space="preserve">В настоящем документе содержатся некоторые прогнозы и предложения в отношении координационных рамок и механизмов осуществления Десятилетия ООН в период после 2020 г. и предлагаются пути содействия решению этих задач со стороны государств-членов и различных организаций. Взаимодействие государств-членов с такими координационными механизмами и вклад в их работу на национальном, региональном и глобальном уровнях будут иметь важнейшее значение для создания прочной, инклюзивной и адаптивной системы управления для поддержки Десятилетия. ИГП продолжит доработку </w:t>
      </w:r>
      <w:r w:rsidR="00476452">
        <w:rPr>
          <w:rFonts w:ascii="Arial" w:hAnsi="Arial" w:cs="Arial"/>
          <w:sz w:val="22"/>
          <w:szCs w:val="22"/>
          <w:lang w:val="ru-RU"/>
        </w:rPr>
        <w:t>д</w:t>
      </w:r>
      <w:r w:rsidR="00476452" w:rsidRPr="00476452">
        <w:rPr>
          <w:rFonts w:ascii="Arial" w:hAnsi="Arial" w:cs="Arial"/>
          <w:sz w:val="22"/>
          <w:szCs w:val="22"/>
          <w:lang w:val="ru-RU"/>
        </w:rPr>
        <w:t xml:space="preserve">анных </w:t>
      </w:r>
      <w:r w:rsidRPr="00476452">
        <w:rPr>
          <w:rFonts w:ascii="Arial" w:hAnsi="Arial" w:cs="Arial"/>
          <w:sz w:val="22"/>
          <w:szCs w:val="22"/>
          <w:lang w:val="ru-RU"/>
        </w:rPr>
        <w:t xml:space="preserve">вариантов на основе замечаний, </w:t>
      </w:r>
      <w:r w:rsidR="00476452">
        <w:rPr>
          <w:rFonts w:ascii="Arial" w:hAnsi="Arial" w:cs="Arial"/>
          <w:sz w:val="22"/>
          <w:szCs w:val="22"/>
          <w:lang w:val="ru-RU"/>
        </w:rPr>
        <w:t>высказа</w:t>
      </w:r>
      <w:r w:rsidR="00476452" w:rsidRPr="00476452">
        <w:rPr>
          <w:rFonts w:ascii="Arial" w:hAnsi="Arial" w:cs="Arial"/>
          <w:sz w:val="22"/>
          <w:szCs w:val="22"/>
          <w:lang w:val="ru-RU"/>
        </w:rPr>
        <w:t xml:space="preserve">нных </w:t>
      </w:r>
      <w:r w:rsidRPr="00476452">
        <w:rPr>
          <w:rFonts w:ascii="Arial" w:hAnsi="Arial" w:cs="Arial"/>
          <w:sz w:val="22"/>
          <w:szCs w:val="22"/>
          <w:lang w:val="ru-RU"/>
        </w:rPr>
        <w:t>на 30-й сессии Ассамблеи МОК. Было бы также целесообразно, чтобы Секретариат МОК предложил государствам-членам как можно скорее представить предложения в поддержку таких координационных механизмов.</w:t>
      </w:r>
    </w:p>
    <w:p w14:paraId="4ED349B6" w14:textId="06FC1D88" w:rsidR="00F32628" w:rsidRPr="00476452" w:rsidRDefault="007E47EE" w:rsidP="000E118A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76452">
        <w:rPr>
          <w:rFonts w:ascii="Arial" w:hAnsi="Arial" w:cs="Arial"/>
          <w:b/>
          <w:bCs/>
          <w:sz w:val="22"/>
          <w:szCs w:val="22"/>
          <w:u w:val="single"/>
          <w:lang w:val="ru-RU"/>
        </w:rPr>
        <w:lastRenderedPageBreak/>
        <w:t>Справочные документы</w:t>
      </w:r>
    </w:p>
    <w:p w14:paraId="2A76236D" w14:textId="4DA90597" w:rsidR="00BD72BE" w:rsidRPr="00476452" w:rsidRDefault="00BD72BE" w:rsidP="000E118A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476452">
        <w:rPr>
          <w:rFonts w:ascii="Arial" w:hAnsi="Arial" w:cs="Arial"/>
          <w:sz w:val="22"/>
          <w:szCs w:val="22"/>
          <w:lang w:val="ru-RU"/>
        </w:rPr>
        <w:t xml:space="preserve">Выполнение решений и резолюций, принятых Исполнительным советом и Генеральной конференцией ЮНЕСКО на предыдущих сессиях, часть III, вопросы управления: всеобъемлющая стратегия партнерства, 2013 г. (документ </w:t>
      </w:r>
      <w:hyperlink r:id="rId15" w:history="1"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>192 ЕХ/5.INF</w:t>
        </w:r>
      </w:hyperlink>
      <w:r w:rsidRPr="00476452">
        <w:rPr>
          <w:rFonts w:ascii="Arial" w:hAnsi="Arial" w:cs="Arial"/>
          <w:sz w:val="22"/>
          <w:szCs w:val="22"/>
          <w:lang w:val="ru-RU"/>
        </w:rPr>
        <w:t>)</w:t>
      </w:r>
    </w:p>
    <w:p w14:paraId="57863122" w14:textId="13FF04E2" w:rsidR="00BD72BE" w:rsidRPr="00476452" w:rsidRDefault="00BD72BE" w:rsidP="000E118A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476452">
        <w:rPr>
          <w:rFonts w:ascii="Arial" w:hAnsi="Arial" w:cs="Arial"/>
          <w:sz w:val="22"/>
          <w:szCs w:val="22"/>
          <w:lang w:val="ru-RU"/>
        </w:rPr>
        <w:t xml:space="preserve">Рамочные меморандумы о взаимопонимании для программных, проектных и региональных бюро МОК, 2004 г. (документ </w:t>
      </w:r>
      <w:hyperlink r:id="rId16" w:history="1"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IOC/EC-XXXVII/2 </w:t>
        </w:r>
        <w:proofErr w:type="spellStart"/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>Annex</w:t>
        </w:r>
        <w:proofErr w:type="spellEnd"/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13</w:t>
        </w:r>
      </w:hyperlink>
      <w:r w:rsidRPr="00476452">
        <w:rPr>
          <w:rFonts w:ascii="Arial" w:hAnsi="Arial" w:cs="Arial"/>
          <w:sz w:val="22"/>
          <w:szCs w:val="22"/>
          <w:lang w:val="ru-RU"/>
        </w:rPr>
        <w:t>)</w:t>
      </w:r>
    </w:p>
    <w:p w14:paraId="54E15EDE" w14:textId="7CD67F00" w:rsidR="00EE58FD" w:rsidRPr="005A4517" w:rsidRDefault="00BD72BE" w:rsidP="000E118A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476452">
        <w:rPr>
          <w:rFonts w:ascii="Arial" w:hAnsi="Arial" w:cs="Arial"/>
          <w:sz w:val="22"/>
          <w:szCs w:val="22"/>
          <w:lang w:val="ru-RU"/>
        </w:rPr>
        <w:t xml:space="preserve">Пересмотренная дорожная карта для Десятилетия Организации Объединенных Наций, посвященного науке об океане в интересах устойчивого развития, 2018 г. (документы </w:t>
      </w:r>
      <w:hyperlink r:id="rId17" w:history="1"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IOC/EC-LI/2 </w:t>
        </w:r>
        <w:proofErr w:type="spellStart"/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>Annex</w:t>
        </w:r>
        <w:proofErr w:type="spellEnd"/>
        <w:r w:rsidRPr="00476452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3</w:t>
        </w:r>
      </w:hyperlink>
      <w:r w:rsidRPr="00476452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476452">
        <w:rPr>
          <w:rFonts w:ascii="Arial" w:hAnsi="Arial" w:cs="Arial"/>
          <w:sz w:val="22"/>
          <w:szCs w:val="22"/>
          <w:lang w:val="ru-RU"/>
        </w:rPr>
        <w:t>Corr</w:t>
      </w:r>
      <w:proofErr w:type="spellEnd"/>
      <w:r w:rsidRPr="00476452">
        <w:rPr>
          <w:rFonts w:ascii="Arial" w:hAnsi="Arial" w:cs="Arial"/>
          <w:sz w:val="22"/>
          <w:szCs w:val="22"/>
          <w:lang w:val="ru-RU"/>
        </w:rPr>
        <w:t>.)</w:t>
      </w:r>
    </w:p>
    <w:sectPr w:rsidR="00EE58FD" w:rsidRPr="005A4517" w:rsidSect="00C46D4D">
      <w:headerReference w:type="even" r:id="rId18"/>
      <w:headerReference w:type="default" r:id="rId19"/>
      <w:headerReference w:type="first" r:id="rId20"/>
      <w:pgSz w:w="11907" w:h="16840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4B65" w14:textId="77777777" w:rsidR="00132C62" w:rsidRDefault="00132C62" w:rsidP="007031DE">
      <w:r>
        <w:separator/>
      </w:r>
    </w:p>
  </w:endnote>
  <w:endnote w:type="continuationSeparator" w:id="0">
    <w:p w14:paraId="5BFD0795" w14:textId="77777777" w:rsidR="00132C62" w:rsidRDefault="00132C62" w:rsidP="007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981EB" w14:textId="77777777" w:rsidR="00132C62" w:rsidRDefault="00132C62" w:rsidP="007031DE">
      <w:r>
        <w:separator/>
      </w:r>
    </w:p>
  </w:footnote>
  <w:footnote w:type="continuationSeparator" w:id="0">
    <w:p w14:paraId="47730F83" w14:textId="77777777" w:rsidR="00132C62" w:rsidRDefault="00132C62" w:rsidP="0070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A8DE" w14:textId="17A8D6EF" w:rsidR="0074441D" w:rsidRPr="0077340E" w:rsidRDefault="0074441D" w:rsidP="009106E1">
    <w:pPr>
      <w:pStyle w:val="Header"/>
      <w:tabs>
        <w:tab w:val="clear" w:pos="4680"/>
        <w:tab w:val="clear" w:pos="9360"/>
      </w:tabs>
      <w:rPr>
        <w:rFonts w:ascii="Arial" w:hAnsi="Arial" w:cs="Arial"/>
        <w:sz w:val="20"/>
        <w:szCs w:val="20"/>
      </w:rPr>
    </w:pPr>
    <w:r w:rsidRPr="0077340E">
      <w:rPr>
        <w:rFonts w:ascii="Arial" w:hAnsi="Arial" w:cs="Arial"/>
        <w:sz w:val="20"/>
        <w:szCs w:val="20"/>
        <w:lang w:val="ru-RU"/>
      </w:rPr>
      <w:t xml:space="preserve">IOC-XXX/2 </w:t>
    </w:r>
    <w:proofErr w:type="spellStart"/>
    <w:r w:rsidRPr="0077340E">
      <w:rPr>
        <w:rFonts w:ascii="Arial" w:hAnsi="Arial" w:cs="Arial"/>
        <w:sz w:val="20"/>
        <w:szCs w:val="20"/>
        <w:lang w:val="ru-RU"/>
      </w:rPr>
      <w:t>Annex</w:t>
    </w:r>
    <w:proofErr w:type="spellEnd"/>
    <w:r w:rsidRPr="0077340E">
      <w:rPr>
        <w:rFonts w:ascii="Arial" w:hAnsi="Arial" w:cs="Arial"/>
        <w:sz w:val="20"/>
        <w:szCs w:val="20"/>
        <w:lang w:val="ru-RU"/>
      </w:rPr>
      <w:t xml:space="preserve"> 3 </w:t>
    </w:r>
    <w:proofErr w:type="spellStart"/>
    <w:r w:rsidRPr="0077340E">
      <w:rPr>
        <w:rFonts w:ascii="Arial" w:hAnsi="Arial" w:cs="Arial"/>
        <w:sz w:val="20"/>
        <w:szCs w:val="20"/>
        <w:lang w:val="ru-RU"/>
      </w:rPr>
      <w:t>Add</w:t>
    </w:r>
    <w:proofErr w:type="spellEnd"/>
    <w:r w:rsidRPr="0077340E">
      <w:rPr>
        <w:rFonts w:ascii="Arial" w:hAnsi="Arial" w:cs="Arial"/>
        <w:sz w:val="20"/>
        <w:szCs w:val="20"/>
        <w:lang w:val="ru-RU"/>
      </w:rPr>
      <w:t>.</w:t>
    </w:r>
  </w:p>
  <w:p w14:paraId="20733804" w14:textId="7E9AA1DE" w:rsidR="0074441D" w:rsidRPr="0077340E" w:rsidRDefault="00BA49BF" w:rsidP="009106E1">
    <w:pPr>
      <w:pStyle w:val="Header"/>
      <w:tabs>
        <w:tab w:val="clear" w:pos="4680"/>
        <w:tab w:val="clear" w:pos="9360"/>
      </w:tabs>
      <w:rPr>
        <w:rFonts w:ascii="Arial" w:hAnsi="Arial" w:cs="Arial"/>
        <w:sz w:val="20"/>
        <w:szCs w:val="20"/>
      </w:rPr>
    </w:pPr>
    <w:proofErr w:type="gramStart"/>
    <w:r w:rsidRPr="0077340E">
      <w:rPr>
        <w:rFonts w:ascii="Arial" w:hAnsi="Arial" w:cs="Arial"/>
        <w:sz w:val="20"/>
        <w:szCs w:val="20"/>
      </w:rPr>
      <w:t>p</w:t>
    </w:r>
    <w:r w:rsidR="0074441D" w:rsidRPr="0077340E">
      <w:rPr>
        <w:rFonts w:ascii="Arial" w:hAnsi="Arial" w:cs="Arial"/>
        <w:sz w:val="20"/>
        <w:szCs w:val="20"/>
      </w:rPr>
      <w:t>age</w:t>
    </w:r>
    <w:proofErr w:type="gramEnd"/>
    <w:r w:rsidR="0074441D" w:rsidRPr="0077340E">
      <w:rPr>
        <w:rFonts w:ascii="Arial" w:hAnsi="Arial" w:cs="Arial"/>
        <w:sz w:val="20"/>
        <w:szCs w:val="20"/>
      </w:rPr>
      <w:t xml:space="preserve"> </w:t>
    </w:r>
    <w:r w:rsidR="0074441D" w:rsidRPr="0077340E">
      <w:rPr>
        <w:rFonts w:ascii="Arial" w:hAnsi="Arial" w:cs="Arial"/>
        <w:sz w:val="20"/>
        <w:szCs w:val="20"/>
      </w:rPr>
      <w:fldChar w:fldCharType="begin"/>
    </w:r>
    <w:r w:rsidR="0074441D" w:rsidRPr="0077340E">
      <w:rPr>
        <w:rFonts w:ascii="Arial" w:hAnsi="Arial" w:cs="Arial"/>
        <w:sz w:val="20"/>
        <w:szCs w:val="20"/>
      </w:rPr>
      <w:instrText xml:space="preserve"> PAGE   \* MERGEFORMAT </w:instrText>
    </w:r>
    <w:r w:rsidR="0074441D" w:rsidRPr="0077340E">
      <w:rPr>
        <w:rFonts w:ascii="Arial" w:hAnsi="Arial" w:cs="Arial"/>
        <w:sz w:val="20"/>
        <w:szCs w:val="20"/>
      </w:rPr>
      <w:fldChar w:fldCharType="separate"/>
    </w:r>
    <w:r w:rsidR="001D360B">
      <w:rPr>
        <w:rFonts w:ascii="Arial" w:hAnsi="Arial" w:cs="Arial"/>
        <w:noProof/>
        <w:sz w:val="20"/>
        <w:szCs w:val="20"/>
      </w:rPr>
      <w:t>10</w:t>
    </w:r>
    <w:r w:rsidR="0074441D" w:rsidRPr="0077340E">
      <w:rPr>
        <w:rFonts w:ascii="Arial" w:hAnsi="Arial" w:cs="Arial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93C5" w14:textId="07F21E9A" w:rsidR="00AB512E" w:rsidRPr="0077340E" w:rsidRDefault="0074441D" w:rsidP="009106E1">
    <w:pPr>
      <w:pStyle w:val="Header"/>
      <w:tabs>
        <w:tab w:val="clear" w:pos="4680"/>
        <w:tab w:val="clear" w:pos="9360"/>
      </w:tabs>
      <w:ind w:left="7230"/>
      <w:rPr>
        <w:rFonts w:ascii="Arial" w:hAnsi="Arial" w:cs="Arial"/>
        <w:sz w:val="20"/>
        <w:szCs w:val="20"/>
      </w:rPr>
    </w:pPr>
    <w:r w:rsidRPr="0077340E">
      <w:rPr>
        <w:rFonts w:ascii="Arial" w:hAnsi="Arial" w:cs="Arial"/>
        <w:sz w:val="20"/>
        <w:szCs w:val="20"/>
      </w:rPr>
      <w:t>IOC-XXX/2 Annex 3</w:t>
    </w:r>
    <w:r w:rsidR="00BA49BF" w:rsidRPr="0077340E">
      <w:rPr>
        <w:rFonts w:ascii="Arial" w:hAnsi="Arial" w:cs="Arial"/>
        <w:sz w:val="20"/>
        <w:szCs w:val="20"/>
      </w:rPr>
      <w:t xml:space="preserve"> </w:t>
    </w:r>
    <w:r w:rsidR="00C46D4D" w:rsidRPr="0077340E">
      <w:rPr>
        <w:rFonts w:ascii="Arial" w:hAnsi="Arial" w:cs="Arial"/>
        <w:sz w:val="20"/>
        <w:szCs w:val="20"/>
      </w:rPr>
      <w:t>A</w:t>
    </w:r>
    <w:r w:rsidRPr="0077340E">
      <w:rPr>
        <w:rFonts w:ascii="Arial" w:hAnsi="Arial" w:cs="Arial"/>
        <w:sz w:val="20"/>
        <w:szCs w:val="20"/>
      </w:rPr>
      <w:t>dd</w:t>
    </w:r>
    <w:r w:rsidR="00BA49BF" w:rsidRPr="0077340E">
      <w:rPr>
        <w:rFonts w:ascii="Arial" w:hAnsi="Arial" w:cs="Arial"/>
        <w:sz w:val="20"/>
        <w:szCs w:val="20"/>
      </w:rPr>
      <w:t>.</w:t>
    </w:r>
    <w:r w:rsidRPr="0077340E">
      <w:rPr>
        <w:rFonts w:ascii="Arial" w:hAnsi="Arial" w:cs="Arial"/>
        <w:sz w:val="20"/>
        <w:szCs w:val="20"/>
      </w:rPr>
      <w:br/>
    </w:r>
    <w:proofErr w:type="gramStart"/>
    <w:r w:rsidR="00BA49BF" w:rsidRPr="0077340E">
      <w:rPr>
        <w:rFonts w:ascii="Arial" w:hAnsi="Arial" w:cs="Arial"/>
        <w:sz w:val="20"/>
        <w:szCs w:val="20"/>
      </w:rPr>
      <w:t>p</w:t>
    </w:r>
    <w:r w:rsidRPr="0077340E">
      <w:rPr>
        <w:rFonts w:ascii="Arial" w:hAnsi="Arial" w:cs="Arial"/>
        <w:sz w:val="20"/>
        <w:szCs w:val="20"/>
      </w:rPr>
      <w:t>age</w:t>
    </w:r>
    <w:proofErr w:type="gramEnd"/>
    <w:r w:rsidRPr="0077340E">
      <w:rPr>
        <w:rFonts w:ascii="Arial" w:hAnsi="Arial" w:cs="Arial"/>
        <w:sz w:val="20"/>
        <w:szCs w:val="20"/>
      </w:rPr>
      <w:t xml:space="preserve"> </w:t>
    </w:r>
    <w:r w:rsidRPr="0077340E">
      <w:rPr>
        <w:rFonts w:ascii="Arial" w:hAnsi="Arial" w:cs="Arial"/>
        <w:sz w:val="20"/>
        <w:szCs w:val="20"/>
      </w:rPr>
      <w:fldChar w:fldCharType="begin"/>
    </w:r>
    <w:r w:rsidRPr="0077340E">
      <w:rPr>
        <w:rFonts w:ascii="Arial" w:hAnsi="Arial" w:cs="Arial"/>
        <w:sz w:val="20"/>
        <w:szCs w:val="20"/>
      </w:rPr>
      <w:instrText xml:space="preserve"> PAGE   \* MERGEFORMAT </w:instrText>
    </w:r>
    <w:r w:rsidRPr="0077340E">
      <w:rPr>
        <w:rFonts w:ascii="Arial" w:hAnsi="Arial" w:cs="Arial"/>
        <w:sz w:val="20"/>
        <w:szCs w:val="20"/>
      </w:rPr>
      <w:fldChar w:fldCharType="separate"/>
    </w:r>
    <w:r w:rsidR="001D360B">
      <w:rPr>
        <w:rFonts w:ascii="Arial" w:hAnsi="Arial" w:cs="Arial"/>
        <w:noProof/>
        <w:sz w:val="20"/>
        <w:szCs w:val="20"/>
      </w:rPr>
      <w:t>11</w:t>
    </w:r>
    <w:r w:rsidRPr="0077340E">
      <w:rPr>
        <w:rFonts w:ascii="Arial" w:hAnsi="Arial" w:cs="Arial"/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EB56" w14:textId="7686E29D" w:rsidR="0074441D" w:rsidRPr="00207DDA" w:rsidRDefault="0074441D" w:rsidP="008046B6">
    <w:pPr>
      <w:pStyle w:val="Marge"/>
      <w:tabs>
        <w:tab w:val="left" w:pos="5103"/>
        <w:tab w:val="left" w:pos="7200"/>
        <w:tab w:val="left" w:pos="7290"/>
      </w:tabs>
      <w:spacing w:after="0"/>
      <w:jc w:val="left"/>
      <w:rPr>
        <w:rFonts w:cs="Arial"/>
        <w:b/>
        <w:sz w:val="16"/>
        <w:szCs w:val="22"/>
        <w:lang w:val="ru-RU"/>
      </w:rPr>
    </w:pPr>
    <w:r>
      <w:rPr>
        <w:lang w:val="ru-RU"/>
      </w:rPr>
      <w:t xml:space="preserve">Рассылается по списку </w:t>
    </w:r>
    <w:r>
      <w:rPr>
        <w:lang w:val="ru-RU"/>
      </w:rPr>
      <w:tab/>
    </w:r>
    <w:r w:rsidRPr="00C46D4D">
      <w:rPr>
        <w:b/>
        <w:sz w:val="36"/>
        <w:szCs w:val="36"/>
        <w:lang w:val="ru-RU"/>
      </w:rPr>
      <w:t xml:space="preserve">IOC-XXX/2 </w:t>
    </w:r>
    <w:proofErr w:type="spellStart"/>
    <w:r w:rsidRPr="00C46D4D">
      <w:rPr>
        <w:b/>
        <w:sz w:val="36"/>
        <w:szCs w:val="36"/>
        <w:lang w:val="ru-RU"/>
      </w:rPr>
      <w:t>Annex</w:t>
    </w:r>
    <w:proofErr w:type="spellEnd"/>
    <w:r w:rsidRPr="00C46D4D">
      <w:rPr>
        <w:b/>
        <w:sz w:val="36"/>
        <w:szCs w:val="36"/>
        <w:lang w:val="ru-RU"/>
      </w:rPr>
      <w:t xml:space="preserve"> 3 </w:t>
    </w:r>
    <w:proofErr w:type="spellStart"/>
    <w:r w:rsidRPr="00C46D4D">
      <w:rPr>
        <w:b/>
        <w:sz w:val="36"/>
        <w:szCs w:val="36"/>
        <w:lang w:val="ru-RU"/>
      </w:rPr>
      <w:t>Add</w:t>
    </w:r>
    <w:proofErr w:type="spellEnd"/>
    <w:r w:rsidRPr="00C46D4D">
      <w:rPr>
        <w:b/>
        <w:sz w:val="36"/>
        <w:szCs w:val="36"/>
        <w:lang w:val="ru-RU"/>
      </w:rPr>
      <w:t>.</w:t>
    </w:r>
  </w:p>
  <w:p w14:paraId="2A3CF86B" w14:textId="75BD6834" w:rsidR="0074441D" w:rsidRPr="00C46D4D" w:rsidRDefault="0074441D" w:rsidP="00A175D5">
    <w:pPr>
      <w:tabs>
        <w:tab w:val="left" w:pos="5103"/>
        <w:tab w:val="left" w:pos="7655"/>
      </w:tabs>
      <w:ind w:firstLine="5103"/>
      <w:rPr>
        <w:rFonts w:ascii="Arial" w:hAnsi="Arial" w:cs="Arial"/>
        <w:sz w:val="22"/>
        <w:szCs w:val="22"/>
        <w:lang w:val="ru-RU"/>
      </w:rPr>
    </w:pPr>
    <w:r w:rsidRPr="00C46D4D">
      <w:rPr>
        <w:rFonts w:ascii="Arial" w:hAnsi="Arial" w:cs="Arial"/>
        <w:sz w:val="22"/>
        <w:szCs w:val="22"/>
        <w:lang w:val="ru-RU"/>
      </w:rPr>
      <w:t xml:space="preserve">Париж, 11 июня 2019 г. </w:t>
    </w:r>
  </w:p>
  <w:p w14:paraId="0012E0DD" w14:textId="77777777" w:rsidR="0074441D" w:rsidRPr="00C46D4D" w:rsidRDefault="0074441D" w:rsidP="00A175D5">
    <w:pPr>
      <w:tabs>
        <w:tab w:val="left" w:pos="5103"/>
        <w:tab w:val="left" w:pos="7655"/>
      </w:tabs>
      <w:ind w:firstLine="5103"/>
      <w:rPr>
        <w:rFonts w:ascii="Arial" w:hAnsi="Arial" w:cs="Arial"/>
        <w:sz w:val="22"/>
        <w:szCs w:val="22"/>
        <w:lang w:val="ru-RU"/>
      </w:rPr>
    </w:pPr>
    <w:r w:rsidRPr="00C46D4D">
      <w:rPr>
        <w:rFonts w:ascii="Arial" w:hAnsi="Arial" w:cs="Arial"/>
        <w:sz w:val="22"/>
        <w:szCs w:val="22"/>
        <w:lang w:val="ru-RU"/>
      </w:rPr>
      <w:t xml:space="preserve">Оригинал: английский </w:t>
    </w:r>
  </w:p>
  <w:p w14:paraId="6F493667" w14:textId="77777777" w:rsidR="0074441D" w:rsidRPr="00207DDA" w:rsidRDefault="0074441D" w:rsidP="0074441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096"/>
        <w:tab w:val="left" w:pos="6480"/>
        <w:tab w:val="left" w:pos="6660"/>
        <w:tab w:val="left" w:pos="7020"/>
        <w:tab w:val="left" w:pos="7655"/>
      </w:tabs>
      <w:rPr>
        <w:rFonts w:ascii="Arial" w:hAnsi="Arial" w:cs="Arial"/>
        <w:b/>
        <w:szCs w:val="22"/>
        <w:lang w:val="ru-RU"/>
      </w:rPr>
    </w:pPr>
  </w:p>
  <w:p w14:paraId="66B90F7E" w14:textId="77777777" w:rsidR="0074441D" w:rsidRPr="00207DDA" w:rsidRDefault="0074441D" w:rsidP="0074441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096"/>
        <w:tab w:val="left" w:pos="6480"/>
        <w:tab w:val="left" w:pos="6660"/>
        <w:tab w:val="left" w:pos="7020"/>
        <w:tab w:val="left" w:pos="7655"/>
      </w:tabs>
      <w:rPr>
        <w:rFonts w:ascii="Arial" w:hAnsi="Arial" w:cs="Arial"/>
        <w:b/>
        <w:szCs w:val="22"/>
        <w:lang w:val="ru-RU"/>
      </w:rPr>
    </w:pPr>
    <w:r w:rsidRPr="001A5867">
      <w:rPr>
        <w:rFonts w:ascii="Arial" w:hAnsi="Arial"/>
        <w:noProof/>
        <w:sz w:val="22"/>
        <w:szCs w:val="22"/>
        <w:lang w:val="en-US"/>
      </w:rPr>
      <w:drawing>
        <wp:anchor distT="0" distB="0" distL="114300" distR="114300" simplePos="0" relativeHeight="251661312" behindDoc="1" locked="0" layoutInCell="1" allowOverlap="1" wp14:anchorId="382CB655" wp14:editId="713D0193">
          <wp:simplePos x="0" y="0"/>
          <wp:positionH relativeFrom="margin">
            <wp:posOffset>-155275</wp:posOffset>
          </wp:positionH>
          <wp:positionV relativeFrom="paragraph">
            <wp:posOffset>151130</wp:posOffset>
          </wp:positionV>
          <wp:extent cx="1714500" cy="881380"/>
          <wp:effectExtent l="0" t="0" r="0" b="0"/>
          <wp:wrapSquare wrapText="bothSides"/>
          <wp:docPr id="5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notext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448FC" w14:textId="77777777" w:rsidR="0074441D" w:rsidRPr="00207DDA" w:rsidRDefault="0074441D" w:rsidP="0074441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sz w:val="4"/>
        <w:szCs w:val="22"/>
        <w:lang w:val="ru-RU"/>
      </w:rPr>
    </w:pPr>
  </w:p>
  <w:p w14:paraId="27C0E130" w14:textId="1DEE4A2B" w:rsidR="0074441D" w:rsidRPr="00B1132C" w:rsidRDefault="00B1132C" w:rsidP="0074441D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 w:right="-270"/>
      <w:rPr>
        <w:rFonts w:ascii="Arial" w:hAnsi="Arial" w:cs="Arial"/>
        <w:b/>
        <w:sz w:val="22"/>
        <w:szCs w:val="22"/>
        <w:lang w:val="ru-RU"/>
      </w:rPr>
    </w:pPr>
    <w:r w:rsidRPr="00B1132C">
      <w:rPr>
        <w:rFonts w:ascii="Arial" w:hAnsi="Arial" w:cs="Arial"/>
        <w:b/>
        <w:bCs/>
        <w:sz w:val="22"/>
        <w:szCs w:val="22"/>
        <w:lang w:val="ru-RU"/>
      </w:rPr>
      <w:t>МЕЖПРАВИТЕЛЬСТВЕННАЯ ОКЕАНОГРАФИЧЕСКАЯ КОМИ</w:t>
    </w:r>
    <w:r w:rsidRPr="00C46D4D">
      <w:rPr>
        <w:rFonts w:ascii="Arial" w:hAnsi="Arial" w:cs="Arial"/>
        <w:b/>
        <w:bCs/>
        <w:lang w:val="ru-RU"/>
      </w:rPr>
      <w:t>С</w:t>
    </w:r>
    <w:r w:rsidRPr="00B1132C">
      <w:rPr>
        <w:rFonts w:ascii="Arial" w:hAnsi="Arial" w:cs="Arial"/>
        <w:b/>
        <w:bCs/>
        <w:sz w:val="22"/>
        <w:szCs w:val="22"/>
        <w:lang w:val="ru-RU"/>
      </w:rPr>
      <w:t>СИЯ</w:t>
    </w:r>
  </w:p>
  <w:p w14:paraId="2D8BA8A9" w14:textId="77777777" w:rsidR="0074441D" w:rsidRPr="00C46D4D" w:rsidRDefault="0074441D" w:rsidP="0074441D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lang w:val="ru-RU"/>
      </w:rPr>
    </w:pPr>
    <w:r w:rsidRPr="00C46D4D">
      <w:rPr>
        <w:rFonts w:ascii="Arial" w:hAnsi="Arial" w:cs="Arial"/>
        <w:lang w:val="ru-RU"/>
      </w:rPr>
      <w:t>(ЮНЕСКО)</w:t>
    </w:r>
  </w:p>
  <w:p w14:paraId="61D2140A" w14:textId="77777777" w:rsidR="0074441D" w:rsidRPr="00207DDA" w:rsidRDefault="0074441D" w:rsidP="0074441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lang w:val="ru-RU"/>
      </w:rPr>
    </w:pPr>
  </w:p>
  <w:p w14:paraId="5357A9C2" w14:textId="77777777" w:rsidR="0074441D" w:rsidRPr="00C46D4D" w:rsidRDefault="0074441D" w:rsidP="0074441D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lang w:val="ru-RU"/>
      </w:rPr>
    </w:pPr>
    <w:r w:rsidRPr="00C46D4D">
      <w:rPr>
        <w:rFonts w:ascii="Arial" w:hAnsi="Arial" w:cs="Arial"/>
        <w:b/>
        <w:bCs/>
        <w:lang w:val="ru-RU"/>
      </w:rPr>
      <w:t>Тридцатая сессия Ассамблеи</w:t>
    </w:r>
  </w:p>
  <w:p w14:paraId="6518676B" w14:textId="77777777" w:rsidR="0074441D" w:rsidRPr="00C46D4D" w:rsidRDefault="0074441D" w:rsidP="008046B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 w:firstLine="28"/>
      <w:rPr>
        <w:rFonts w:ascii="Arial" w:hAnsi="Arial" w:cs="Arial"/>
        <w:bCs/>
        <w:lang w:val="ru-RU"/>
      </w:rPr>
    </w:pPr>
    <w:r w:rsidRPr="00C46D4D">
      <w:rPr>
        <w:rFonts w:ascii="Arial" w:hAnsi="Arial" w:cs="Arial"/>
        <w:lang w:val="ru-RU"/>
      </w:rPr>
      <w:t>ЮНЕСКО, Париж, 26 июня – 4 июля 2019 г.</w:t>
    </w:r>
  </w:p>
  <w:p w14:paraId="74445BF2" w14:textId="77777777" w:rsidR="0074441D" w:rsidRPr="00207DDA" w:rsidRDefault="0074441D" w:rsidP="0074441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  <w:lang w:val="ru-RU"/>
      </w:rPr>
    </w:pPr>
  </w:p>
  <w:p w14:paraId="7D883837" w14:textId="77777777" w:rsidR="0074441D" w:rsidRPr="00207DDA" w:rsidRDefault="0074441D" w:rsidP="0074441D">
    <w:pPr>
      <w:jc w:val="center"/>
      <w:rPr>
        <w:b/>
        <w:lang w:val="ru-RU"/>
      </w:rPr>
    </w:pPr>
  </w:p>
  <w:p w14:paraId="6DE185FF" w14:textId="77777777" w:rsidR="0074441D" w:rsidRPr="00207DDA" w:rsidRDefault="0074441D" w:rsidP="0074441D">
    <w:pPr>
      <w:spacing w:after="240"/>
      <w:jc w:val="center"/>
      <w:rPr>
        <w:rFonts w:ascii="Arial" w:hAnsi="Arial" w:cs="Arial"/>
        <w:b/>
        <w:sz w:val="22"/>
        <w:szCs w:val="22"/>
        <w:lang w:val="ru-RU"/>
      </w:rPr>
    </w:pPr>
  </w:p>
  <w:p w14:paraId="7FDE76C0" w14:textId="77777777" w:rsidR="0074441D" w:rsidRPr="00C46D4D" w:rsidRDefault="0074441D" w:rsidP="0074441D">
    <w:pPr>
      <w:spacing w:after="240"/>
      <w:rPr>
        <w:rFonts w:ascii="Arial" w:hAnsi="Arial" w:cs="Arial"/>
        <w:snapToGrid w:val="0"/>
        <w:u w:val="single"/>
        <w:lang w:val="ru-RU"/>
      </w:rPr>
    </w:pPr>
    <w:r w:rsidRPr="00C46D4D">
      <w:rPr>
        <w:rFonts w:ascii="Arial" w:hAnsi="Arial" w:cs="Arial"/>
        <w:u w:val="single"/>
        <w:lang w:val="ru-RU"/>
      </w:rPr>
      <w:t xml:space="preserve">Пункт </w:t>
    </w:r>
    <w:r w:rsidRPr="00C46D4D">
      <w:rPr>
        <w:rFonts w:ascii="Arial" w:hAnsi="Arial" w:cs="Arial"/>
        <w:b/>
        <w:bCs/>
        <w:u w:val="single"/>
        <w:lang w:val="ru-RU"/>
      </w:rPr>
      <w:t>4.1</w:t>
    </w:r>
    <w:r w:rsidRPr="00C46D4D">
      <w:rPr>
        <w:rFonts w:ascii="Arial" w:hAnsi="Arial" w:cs="Arial"/>
        <w:u w:val="single"/>
        <w:lang w:val="ru-RU"/>
      </w:rPr>
      <w:t xml:space="preserve"> предварительной повестки дня</w:t>
    </w:r>
  </w:p>
  <w:p w14:paraId="46063489" w14:textId="374A46EB" w:rsidR="0074441D" w:rsidRPr="00C46D4D" w:rsidRDefault="00C46D4D" w:rsidP="008046B6">
    <w:pPr>
      <w:spacing w:after="240"/>
      <w:jc w:val="center"/>
      <w:rPr>
        <w:rFonts w:ascii="Arial" w:hAnsi="Arial" w:cs="Arial"/>
        <w:sz w:val="28"/>
        <w:szCs w:val="28"/>
        <w:lang w:val="ru-RU"/>
      </w:rPr>
    </w:pPr>
    <w:r>
      <w:rPr>
        <w:rFonts w:ascii="Arial" w:hAnsi="Arial" w:cs="Arial"/>
        <w:b/>
        <w:bCs/>
        <w:sz w:val="28"/>
        <w:szCs w:val="28"/>
        <w:lang w:val="ru-RU"/>
      </w:rPr>
      <w:t>Х</w:t>
    </w:r>
    <w:r w:rsidRPr="00C46D4D">
      <w:rPr>
        <w:rFonts w:ascii="Arial" w:hAnsi="Arial" w:cs="Arial"/>
        <w:b/>
        <w:bCs/>
        <w:sz w:val="28"/>
        <w:szCs w:val="28"/>
        <w:lang w:val="ru-RU"/>
      </w:rPr>
      <w:t xml:space="preserve">од выполнения </w:t>
    </w:r>
    <w:r>
      <w:rPr>
        <w:rFonts w:ascii="Arial" w:hAnsi="Arial" w:cs="Arial"/>
        <w:b/>
        <w:bCs/>
        <w:sz w:val="28"/>
        <w:szCs w:val="28"/>
        <w:lang w:val="ru-RU"/>
      </w:rPr>
      <w:t>«</w:t>
    </w:r>
    <w:r w:rsidRPr="00C46D4D">
      <w:rPr>
        <w:rFonts w:ascii="Arial" w:hAnsi="Arial" w:cs="Arial"/>
        <w:b/>
        <w:bCs/>
        <w:sz w:val="28"/>
        <w:szCs w:val="28"/>
        <w:lang w:val="ru-RU"/>
      </w:rPr>
      <w:t>дорожной карты</w:t>
    </w:r>
    <w:r>
      <w:rPr>
        <w:rFonts w:ascii="Arial" w:hAnsi="Arial" w:cs="Arial"/>
        <w:b/>
        <w:bCs/>
        <w:sz w:val="28"/>
        <w:szCs w:val="28"/>
        <w:lang w:val="ru-RU"/>
      </w:rPr>
      <w:t>»</w:t>
    </w:r>
    <w:r w:rsidR="00F03249">
      <w:rPr>
        <w:rFonts w:ascii="Arial" w:hAnsi="Arial" w:cs="Arial"/>
        <w:b/>
        <w:bCs/>
        <w:sz w:val="28"/>
        <w:szCs w:val="28"/>
        <w:lang w:val="ru-RU"/>
      </w:rPr>
      <w:t xml:space="preserve"> по подготовке плана</w:t>
    </w:r>
    <w:r w:rsidR="00F03249">
      <w:rPr>
        <w:rFonts w:ascii="Arial" w:hAnsi="Arial" w:cs="Arial"/>
        <w:b/>
        <w:bCs/>
        <w:sz w:val="28"/>
        <w:szCs w:val="28"/>
        <w:lang w:val="ru-RU"/>
      </w:rPr>
      <w:br/>
    </w:r>
    <w:r w:rsidRPr="00C46D4D">
      <w:rPr>
        <w:rFonts w:ascii="Arial" w:hAnsi="Arial" w:cs="Arial"/>
        <w:b/>
        <w:bCs/>
        <w:sz w:val="28"/>
        <w:szCs w:val="28"/>
        <w:lang w:val="ru-RU"/>
      </w:rPr>
      <w:t xml:space="preserve">проведения </w:t>
    </w:r>
    <w:r w:rsidR="001E0745" w:rsidRPr="00C46D4D">
      <w:rPr>
        <w:rFonts w:ascii="Arial" w:hAnsi="Arial" w:cs="Arial"/>
        <w:b/>
        <w:bCs/>
        <w:sz w:val="28"/>
        <w:szCs w:val="28"/>
        <w:lang w:val="ru-RU"/>
      </w:rPr>
      <w:t>Д</w:t>
    </w:r>
    <w:r w:rsidRPr="00C46D4D">
      <w:rPr>
        <w:rFonts w:ascii="Arial" w:hAnsi="Arial" w:cs="Arial"/>
        <w:b/>
        <w:bCs/>
        <w:sz w:val="28"/>
        <w:szCs w:val="28"/>
        <w:lang w:val="ru-RU"/>
      </w:rPr>
      <w:t xml:space="preserve">есятилетия </w:t>
    </w:r>
    <w:r w:rsidR="001E0745">
      <w:rPr>
        <w:rFonts w:ascii="Arial" w:hAnsi="Arial" w:cs="Arial"/>
        <w:b/>
        <w:bCs/>
        <w:sz w:val="28"/>
        <w:szCs w:val="28"/>
        <w:lang w:val="ru-RU"/>
      </w:rPr>
      <w:t>О</w:t>
    </w:r>
    <w:r w:rsidR="00F03249">
      <w:rPr>
        <w:rFonts w:ascii="Arial" w:hAnsi="Arial" w:cs="Arial"/>
        <w:b/>
        <w:bCs/>
        <w:sz w:val="28"/>
        <w:szCs w:val="28"/>
        <w:lang w:val="ru-RU"/>
      </w:rPr>
      <w:t xml:space="preserve">рганизации </w:t>
    </w:r>
    <w:r w:rsidR="001E0745">
      <w:rPr>
        <w:rFonts w:ascii="Arial" w:hAnsi="Arial" w:cs="Arial"/>
        <w:b/>
        <w:bCs/>
        <w:sz w:val="28"/>
        <w:szCs w:val="28"/>
        <w:lang w:val="ru-RU"/>
      </w:rPr>
      <w:t>О</w:t>
    </w:r>
    <w:r w:rsidR="00F03249">
      <w:rPr>
        <w:rFonts w:ascii="Arial" w:hAnsi="Arial" w:cs="Arial"/>
        <w:b/>
        <w:bCs/>
        <w:sz w:val="28"/>
        <w:szCs w:val="28"/>
        <w:lang w:val="ru-RU"/>
      </w:rPr>
      <w:t xml:space="preserve">бъединенных </w:t>
    </w:r>
    <w:r w:rsidR="001E0745">
      <w:rPr>
        <w:rFonts w:ascii="Arial" w:hAnsi="Arial" w:cs="Arial"/>
        <w:b/>
        <w:bCs/>
        <w:sz w:val="28"/>
        <w:szCs w:val="28"/>
        <w:lang w:val="ru-RU"/>
      </w:rPr>
      <w:t>Н</w:t>
    </w:r>
    <w:r w:rsidR="00F03249">
      <w:rPr>
        <w:rFonts w:ascii="Arial" w:hAnsi="Arial" w:cs="Arial"/>
        <w:b/>
        <w:bCs/>
        <w:sz w:val="28"/>
        <w:szCs w:val="28"/>
        <w:lang w:val="ru-RU"/>
      </w:rPr>
      <w:t>аций,</w:t>
    </w:r>
    <w:r w:rsidR="00F03249">
      <w:rPr>
        <w:rFonts w:ascii="Arial" w:hAnsi="Arial" w:cs="Arial"/>
        <w:b/>
        <w:bCs/>
        <w:sz w:val="28"/>
        <w:szCs w:val="28"/>
        <w:lang w:val="ru-RU"/>
      </w:rPr>
      <w:br/>
    </w:r>
    <w:r w:rsidRPr="00C46D4D">
      <w:rPr>
        <w:rFonts w:ascii="Arial" w:hAnsi="Arial" w:cs="Arial"/>
        <w:b/>
        <w:bCs/>
        <w:sz w:val="28"/>
        <w:szCs w:val="28"/>
        <w:lang w:val="ru-RU"/>
      </w:rPr>
      <w:t>посвященного науке об океане в интересах устойчивого развития (2021-2030 гг.)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821" w:hanging="721"/>
      </w:pPr>
    </w:lvl>
    <w:lvl w:ilvl="1">
      <w:start w:val="3"/>
      <w:numFmt w:val="decimal"/>
      <w:lvlText w:val="%1.%2"/>
      <w:lvlJc w:val="left"/>
      <w:pPr>
        <w:ind w:left="821" w:hanging="721"/>
      </w:pPr>
    </w:lvl>
    <w:lvl w:ilvl="2">
      <w:start w:val="1"/>
      <w:numFmt w:val="decimal"/>
      <w:lvlText w:val="%1.%2.%3"/>
      <w:lvlJc w:val="left"/>
      <w:pPr>
        <w:ind w:left="821" w:hanging="721"/>
      </w:pPr>
      <w:rPr>
        <w:rFonts w:ascii="Calibri Light" w:hAnsi="Calibri Light" w:cs="Calibri Light"/>
        <w:b w:val="0"/>
        <w:bCs w:val="0"/>
        <w:spacing w:val="-4"/>
        <w:w w:val="100"/>
        <w:sz w:val="24"/>
        <w:szCs w:val="24"/>
      </w:rPr>
    </w:lvl>
    <w:lvl w:ilvl="3">
      <w:numFmt w:val="bullet"/>
      <w:lvlText w:val="-"/>
      <w:lvlJc w:val="left"/>
      <w:pPr>
        <w:ind w:left="941" w:hanging="365"/>
      </w:pPr>
      <w:rPr>
        <w:rFonts w:ascii="Century Gothic" w:hAnsi="Century Gothic" w:cs="Century Gothic"/>
        <w:b w:val="0"/>
        <w:bCs w:val="0"/>
        <w:spacing w:val="-16"/>
        <w:w w:val="100"/>
        <w:sz w:val="24"/>
        <w:szCs w:val="24"/>
      </w:rPr>
    </w:lvl>
    <w:lvl w:ilvl="4">
      <w:numFmt w:val="bullet"/>
      <w:lvlText w:val="•"/>
      <w:lvlJc w:val="left"/>
      <w:pPr>
        <w:ind w:left="3688" w:hanging="365"/>
      </w:pPr>
    </w:lvl>
    <w:lvl w:ilvl="5">
      <w:numFmt w:val="bullet"/>
      <w:lvlText w:val="•"/>
      <w:lvlJc w:val="left"/>
      <w:pPr>
        <w:ind w:left="4604" w:hanging="365"/>
      </w:pPr>
    </w:lvl>
    <w:lvl w:ilvl="6">
      <w:numFmt w:val="bullet"/>
      <w:lvlText w:val="•"/>
      <w:lvlJc w:val="left"/>
      <w:pPr>
        <w:ind w:left="5520" w:hanging="365"/>
      </w:pPr>
    </w:lvl>
    <w:lvl w:ilvl="7">
      <w:numFmt w:val="bullet"/>
      <w:lvlText w:val="•"/>
      <w:lvlJc w:val="left"/>
      <w:pPr>
        <w:ind w:left="6436" w:hanging="365"/>
      </w:pPr>
    </w:lvl>
    <w:lvl w:ilvl="8">
      <w:numFmt w:val="bullet"/>
      <w:lvlText w:val="•"/>
      <w:lvlJc w:val="left"/>
      <w:pPr>
        <w:ind w:left="7352" w:hanging="36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36" w:hanging="360"/>
      </w:pPr>
      <w:rPr>
        <w:rFonts w:ascii="Century Gothic" w:hAnsi="Century Gothic" w:cs="Century Gothic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764" w:hanging="360"/>
      </w:pPr>
    </w:lvl>
    <w:lvl w:ilvl="2">
      <w:numFmt w:val="bullet"/>
      <w:lvlText w:val="•"/>
      <w:lvlJc w:val="left"/>
      <w:pPr>
        <w:ind w:left="2589" w:hanging="360"/>
      </w:pPr>
    </w:lvl>
    <w:lvl w:ilvl="3">
      <w:numFmt w:val="bullet"/>
      <w:lvlText w:val="•"/>
      <w:lvlJc w:val="left"/>
      <w:pPr>
        <w:ind w:left="3413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062" w:hanging="360"/>
      </w:pPr>
    </w:lvl>
    <w:lvl w:ilvl="6">
      <w:numFmt w:val="bullet"/>
      <w:lvlText w:val="•"/>
      <w:lvlJc w:val="left"/>
      <w:pPr>
        <w:ind w:left="5887" w:hanging="360"/>
      </w:pPr>
    </w:lvl>
    <w:lvl w:ilvl="7">
      <w:numFmt w:val="bullet"/>
      <w:lvlText w:val="•"/>
      <w:lvlJc w:val="left"/>
      <w:pPr>
        <w:ind w:left="6711" w:hanging="360"/>
      </w:pPr>
    </w:lvl>
    <w:lvl w:ilvl="8">
      <w:numFmt w:val="bullet"/>
      <w:lvlText w:val="•"/>
      <w:lvlJc w:val="left"/>
      <w:pPr>
        <w:ind w:left="753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941" w:hanging="365"/>
      </w:pPr>
      <w:rPr>
        <w:rFonts w:ascii="Century Gothic" w:hAnsi="Century Gothic" w:cs="Century Gothic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764" w:hanging="365"/>
      </w:pPr>
    </w:lvl>
    <w:lvl w:ilvl="2">
      <w:numFmt w:val="bullet"/>
      <w:lvlText w:val="•"/>
      <w:lvlJc w:val="left"/>
      <w:pPr>
        <w:ind w:left="2589" w:hanging="365"/>
      </w:pPr>
    </w:lvl>
    <w:lvl w:ilvl="3">
      <w:numFmt w:val="bullet"/>
      <w:lvlText w:val="•"/>
      <w:lvlJc w:val="left"/>
      <w:pPr>
        <w:ind w:left="3413" w:hanging="365"/>
      </w:pPr>
    </w:lvl>
    <w:lvl w:ilvl="4">
      <w:numFmt w:val="bullet"/>
      <w:lvlText w:val="•"/>
      <w:lvlJc w:val="left"/>
      <w:pPr>
        <w:ind w:left="4238" w:hanging="365"/>
      </w:pPr>
    </w:lvl>
    <w:lvl w:ilvl="5">
      <w:numFmt w:val="bullet"/>
      <w:lvlText w:val="•"/>
      <w:lvlJc w:val="left"/>
      <w:pPr>
        <w:ind w:left="5062" w:hanging="365"/>
      </w:pPr>
    </w:lvl>
    <w:lvl w:ilvl="6">
      <w:numFmt w:val="bullet"/>
      <w:lvlText w:val="•"/>
      <w:lvlJc w:val="left"/>
      <w:pPr>
        <w:ind w:left="5887" w:hanging="365"/>
      </w:pPr>
    </w:lvl>
    <w:lvl w:ilvl="7">
      <w:numFmt w:val="bullet"/>
      <w:lvlText w:val="•"/>
      <w:lvlJc w:val="left"/>
      <w:pPr>
        <w:ind w:left="6711" w:hanging="365"/>
      </w:pPr>
    </w:lvl>
    <w:lvl w:ilvl="8">
      <w:numFmt w:val="bullet"/>
      <w:lvlText w:val="•"/>
      <w:lvlJc w:val="left"/>
      <w:pPr>
        <w:ind w:left="7536" w:hanging="365"/>
      </w:pPr>
    </w:lvl>
  </w:abstractNum>
  <w:abstractNum w:abstractNumId="3" w15:restartNumberingAfterBreak="0">
    <w:nsid w:val="1BB058A3"/>
    <w:multiLevelType w:val="hybridMultilevel"/>
    <w:tmpl w:val="14CAD976"/>
    <w:lvl w:ilvl="0" w:tplc="6A7EF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7CB"/>
    <w:multiLevelType w:val="hybridMultilevel"/>
    <w:tmpl w:val="114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26"/>
    <w:multiLevelType w:val="hybridMultilevel"/>
    <w:tmpl w:val="64D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336B"/>
    <w:multiLevelType w:val="hybridMultilevel"/>
    <w:tmpl w:val="DECA877C"/>
    <w:lvl w:ilvl="0" w:tplc="3822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540E25"/>
    <w:multiLevelType w:val="hybridMultilevel"/>
    <w:tmpl w:val="0E58C7EC"/>
    <w:lvl w:ilvl="0" w:tplc="A2540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3250"/>
    <w:multiLevelType w:val="hybridMultilevel"/>
    <w:tmpl w:val="9BF22056"/>
    <w:lvl w:ilvl="0" w:tplc="E166C4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0E9E"/>
    <w:multiLevelType w:val="hybridMultilevel"/>
    <w:tmpl w:val="1032B89A"/>
    <w:lvl w:ilvl="0" w:tplc="DF94C1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02BD"/>
    <w:multiLevelType w:val="hybridMultilevel"/>
    <w:tmpl w:val="8A8CBB80"/>
    <w:lvl w:ilvl="0" w:tplc="96E8C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4A0"/>
    <w:multiLevelType w:val="hybridMultilevel"/>
    <w:tmpl w:val="9028E2DE"/>
    <w:lvl w:ilvl="0" w:tplc="E758AB28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  <w:lvlOverride w:ilvl="0">
      <w:lvl w:ilvl="0" w:tplc="E166C4BA">
        <w:start w:val="1"/>
        <w:numFmt w:val="lowerRoman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  <w:lvlOverride w:ilvl="0">
      <w:lvl w:ilvl="0" w:tplc="E758AB28">
        <w:start w:val="1"/>
        <w:numFmt w:val="decimal"/>
        <w:lvlText w:val="%1."/>
        <w:lvlJc w:val="left"/>
        <w:pPr>
          <w:ind w:left="720" w:hanging="720"/>
        </w:pPr>
        <w:rPr>
          <w:rFonts w:hint="default"/>
          <w:i w:val="0"/>
        </w:rPr>
      </w:lvl>
    </w:lvlOverride>
  </w:num>
  <w:num w:numId="12">
    <w:abstractNumId w:val="10"/>
    <w:lvlOverride w:ilvl="0">
      <w:lvl w:ilvl="0" w:tplc="96E8C958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ru-RU" w:vendorID="64" w:dllVersion="131078" w:nlCheck="1" w:checkStyle="0"/>
  <w:proofState w:spelling="clean" w:grammar="clean"/>
  <w:doNotTrackFormatting/>
  <w:defaultTabStop w:val="720"/>
  <w:autoHyphenation/>
  <w:hyphenationZone w:val="425"/>
  <w:doNotHyphenateCaps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28"/>
    <w:rsid w:val="000105CB"/>
    <w:rsid w:val="000243B1"/>
    <w:rsid w:val="0002489B"/>
    <w:rsid w:val="00031A8C"/>
    <w:rsid w:val="000371C5"/>
    <w:rsid w:val="0004148A"/>
    <w:rsid w:val="000444FE"/>
    <w:rsid w:val="000472B7"/>
    <w:rsid w:val="0004783A"/>
    <w:rsid w:val="00047BA2"/>
    <w:rsid w:val="0006162F"/>
    <w:rsid w:val="0006432A"/>
    <w:rsid w:val="00065D4C"/>
    <w:rsid w:val="00071C18"/>
    <w:rsid w:val="00084D41"/>
    <w:rsid w:val="00087E7C"/>
    <w:rsid w:val="000914EA"/>
    <w:rsid w:val="000932BE"/>
    <w:rsid w:val="00097FA4"/>
    <w:rsid w:val="000A3DFA"/>
    <w:rsid w:val="000B307B"/>
    <w:rsid w:val="000C2D16"/>
    <w:rsid w:val="000D3F1F"/>
    <w:rsid w:val="000D63C0"/>
    <w:rsid w:val="000E118A"/>
    <w:rsid w:val="000F0BA2"/>
    <w:rsid w:val="000F39C0"/>
    <w:rsid w:val="0011147D"/>
    <w:rsid w:val="00123F35"/>
    <w:rsid w:val="00124696"/>
    <w:rsid w:val="001309F0"/>
    <w:rsid w:val="00132C62"/>
    <w:rsid w:val="00136E3E"/>
    <w:rsid w:val="001565D3"/>
    <w:rsid w:val="0018015C"/>
    <w:rsid w:val="00182A85"/>
    <w:rsid w:val="001A1A8F"/>
    <w:rsid w:val="001C6F0F"/>
    <w:rsid w:val="001D06C8"/>
    <w:rsid w:val="001D360B"/>
    <w:rsid w:val="001D700D"/>
    <w:rsid w:val="001E0745"/>
    <w:rsid w:val="001E62A5"/>
    <w:rsid w:val="001F1BD7"/>
    <w:rsid w:val="00207DDA"/>
    <w:rsid w:val="00225E6F"/>
    <w:rsid w:val="00227916"/>
    <w:rsid w:val="00232F06"/>
    <w:rsid w:val="002574E3"/>
    <w:rsid w:val="002720B9"/>
    <w:rsid w:val="002A4191"/>
    <w:rsid w:val="002A48A7"/>
    <w:rsid w:val="002B03B4"/>
    <w:rsid w:val="002B4793"/>
    <w:rsid w:val="002B6CD5"/>
    <w:rsid w:val="002D1A8E"/>
    <w:rsid w:val="002D556A"/>
    <w:rsid w:val="002D680E"/>
    <w:rsid w:val="002D6CE2"/>
    <w:rsid w:val="002F1DDE"/>
    <w:rsid w:val="00300D79"/>
    <w:rsid w:val="0030215E"/>
    <w:rsid w:val="00310426"/>
    <w:rsid w:val="00314629"/>
    <w:rsid w:val="003366B0"/>
    <w:rsid w:val="003449CD"/>
    <w:rsid w:val="003703F7"/>
    <w:rsid w:val="003707F1"/>
    <w:rsid w:val="0037493C"/>
    <w:rsid w:val="003775A8"/>
    <w:rsid w:val="00377A16"/>
    <w:rsid w:val="003922C8"/>
    <w:rsid w:val="003944E4"/>
    <w:rsid w:val="003A5847"/>
    <w:rsid w:val="003C4619"/>
    <w:rsid w:val="003E2215"/>
    <w:rsid w:val="003E5DD4"/>
    <w:rsid w:val="003F774C"/>
    <w:rsid w:val="004206AC"/>
    <w:rsid w:val="004217AA"/>
    <w:rsid w:val="00422110"/>
    <w:rsid w:val="00473223"/>
    <w:rsid w:val="00476452"/>
    <w:rsid w:val="00484304"/>
    <w:rsid w:val="004879D7"/>
    <w:rsid w:val="004B7DD1"/>
    <w:rsid w:val="004C26E6"/>
    <w:rsid w:val="005042A8"/>
    <w:rsid w:val="00510A05"/>
    <w:rsid w:val="005115FA"/>
    <w:rsid w:val="00522EAA"/>
    <w:rsid w:val="0052331B"/>
    <w:rsid w:val="00554F56"/>
    <w:rsid w:val="005670F1"/>
    <w:rsid w:val="005776E3"/>
    <w:rsid w:val="005854C8"/>
    <w:rsid w:val="00596BC5"/>
    <w:rsid w:val="00597A71"/>
    <w:rsid w:val="005A4517"/>
    <w:rsid w:val="005C7A71"/>
    <w:rsid w:val="005D58D9"/>
    <w:rsid w:val="005D7E46"/>
    <w:rsid w:val="005E6C90"/>
    <w:rsid w:val="005F1FCF"/>
    <w:rsid w:val="00613953"/>
    <w:rsid w:val="0062236B"/>
    <w:rsid w:val="00635931"/>
    <w:rsid w:val="006430FF"/>
    <w:rsid w:val="006435AD"/>
    <w:rsid w:val="006724D0"/>
    <w:rsid w:val="006828D0"/>
    <w:rsid w:val="00685701"/>
    <w:rsid w:val="00690BEB"/>
    <w:rsid w:val="006920F6"/>
    <w:rsid w:val="006942E1"/>
    <w:rsid w:val="006A2354"/>
    <w:rsid w:val="006A3CCD"/>
    <w:rsid w:val="006A59FA"/>
    <w:rsid w:val="006B104A"/>
    <w:rsid w:val="006D4AC3"/>
    <w:rsid w:val="006D6C2A"/>
    <w:rsid w:val="006D7238"/>
    <w:rsid w:val="006E4309"/>
    <w:rsid w:val="006E5E5B"/>
    <w:rsid w:val="007031DE"/>
    <w:rsid w:val="00720D29"/>
    <w:rsid w:val="00722329"/>
    <w:rsid w:val="007264A4"/>
    <w:rsid w:val="0073242A"/>
    <w:rsid w:val="0074441D"/>
    <w:rsid w:val="0076169F"/>
    <w:rsid w:val="0076307A"/>
    <w:rsid w:val="00770675"/>
    <w:rsid w:val="0077340E"/>
    <w:rsid w:val="007A69F4"/>
    <w:rsid w:val="007B5B03"/>
    <w:rsid w:val="007C186F"/>
    <w:rsid w:val="007D6857"/>
    <w:rsid w:val="007E47EE"/>
    <w:rsid w:val="007F262B"/>
    <w:rsid w:val="007F460E"/>
    <w:rsid w:val="00800EE7"/>
    <w:rsid w:val="008046B6"/>
    <w:rsid w:val="00837F88"/>
    <w:rsid w:val="00841ECD"/>
    <w:rsid w:val="00861CF9"/>
    <w:rsid w:val="00865662"/>
    <w:rsid w:val="008716CB"/>
    <w:rsid w:val="0087308D"/>
    <w:rsid w:val="00882EF0"/>
    <w:rsid w:val="008906AC"/>
    <w:rsid w:val="0089243D"/>
    <w:rsid w:val="008B6B5B"/>
    <w:rsid w:val="008C363A"/>
    <w:rsid w:val="008C7AB0"/>
    <w:rsid w:val="008C7ED0"/>
    <w:rsid w:val="008D1800"/>
    <w:rsid w:val="008D4B04"/>
    <w:rsid w:val="008E45BB"/>
    <w:rsid w:val="00905BF0"/>
    <w:rsid w:val="009106E1"/>
    <w:rsid w:val="00911490"/>
    <w:rsid w:val="009146C1"/>
    <w:rsid w:val="00920C4E"/>
    <w:rsid w:val="00932AAE"/>
    <w:rsid w:val="0094032A"/>
    <w:rsid w:val="00946B48"/>
    <w:rsid w:val="00954178"/>
    <w:rsid w:val="00963DFC"/>
    <w:rsid w:val="00964E10"/>
    <w:rsid w:val="009700AD"/>
    <w:rsid w:val="009858FD"/>
    <w:rsid w:val="009A089D"/>
    <w:rsid w:val="009A70DC"/>
    <w:rsid w:val="009B6C46"/>
    <w:rsid w:val="009E4E0F"/>
    <w:rsid w:val="009F70C0"/>
    <w:rsid w:val="00A135D0"/>
    <w:rsid w:val="00A15F3F"/>
    <w:rsid w:val="00A175D5"/>
    <w:rsid w:val="00A37AF2"/>
    <w:rsid w:val="00A52245"/>
    <w:rsid w:val="00A5290B"/>
    <w:rsid w:val="00A639D8"/>
    <w:rsid w:val="00A63B5E"/>
    <w:rsid w:val="00A72181"/>
    <w:rsid w:val="00A86A80"/>
    <w:rsid w:val="00A9064B"/>
    <w:rsid w:val="00AA248E"/>
    <w:rsid w:val="00AB512E"/>
    <w:rsid w:val="00AC14C9"/>
    <w:rsid w:val="00AC3087"/>
    <w:rsid w:val="00AD74D6"/>
    <w:rsid w:val="00AE0CF4"/>
    <w:rsid w:val="00AF19B1"/>
    <w:rsid w:val="00B0603B"/>
    <w:rsid w:val="00B1132C"/>
    <w:rsid w:val="00B252A5"/>
    <w:rsid w:val="00B25455"/>
    <w:rsid w:val="00B27A96"/>
    <w:rsid w:val="00B3666B"/>
    <w:rsid w:val="00B406B9"/>
    <w:rsid w:val="00B41AF5"/>
    <w:rsid w:val="00B855D6"/>
    <w:rsid w:val="00B95B47"/>
    <w:rsid w:val="00BA49BF"/>
    <w:rsid w:val="00BB02A6"/>
    <w:rsid w:val="00BB2BC7"/>
    <w:rsid w:val="00BD72BE"/>
    <w:rsid w:val="00BD7751"/>
    <w:rsid w:val="00BE15A9"/>
    <w:rsid w:val="00BE3079"/>
    <w:rsid w:val="00BE3BB2"/>
    <w:rsid w:val="00BF561A"/>
    <w:rsid w:val="00BF70A4"/>
    <w:rsid w:val="00C030AD"/>
    <w:rsid w:val="00C0508F"/>
    <w:rsid w:val="00C25F54"/>
    <w:rsid w:val="00C30133"/>
    <w:rsid w:val="00C3624F"/>
    <w:rsid w:val="00C46D4D"/>
    <w:rsid w:val="00C50EB7"/>
    <w:rsid w:val="00C562F4"/>
    <w:rsid w:val="00C57A79"/>
    <w:rsid w:val="00C67F21"/>
    <w:rsid w:val="00C709A0"/>
    <w:rsid w:val="00C80F4C"/>
    <w:rsid w:val="00C8565D"/>
    <w:rsid w:val="00C863F5"/>
    <w:rsid w:val="00C874E1"/>
    <w:rsid w:val="00C96D4D"/>
    <w:rsid w:val="00C97290"/>
    <w:rsid w:val="00CB53C2"/>
    <w:rsid w:val="00CC06BB"/>
    <w:rsid w:val="00CC56D8"/>
    <w:rsid w:val="00CC6FC3"/>
    <w:rsid w:val="00CD32C8"/>
    <w:rsid w:val="00CE5C69"/>
    <w:rsid w:val="00D11527"/>
    <w:rsid w:val="00D13EA0"/>
    <w:rsid w:val="00D16EAD"/>
    <w:rsid w:val="00D23EBB"/>
    <w:rsid w:val="00D40795"/>
    <w:rsid w:val="00D42B1A"/>
    <w:rsid w:val="00D4777C"/>
    <w:rsid w:val="00D57010"/>
    <w:rsid w:val="00D6555B"/>
    <w:rsid w:val="00D668AA"/>
    <w:rsid w:val="00D73F10"/>
    <w:rsid w:val="00D74E89"/>
    <w:rsid w:val="00D81F10"/>
    <w:rsid w:val="00D90ECB"/>
    <w:rsid w:val="00D966C7"/>
    <w:rsid w:val="00D9740F"/>
    <w:rsid w:val="00DA4422"/>
    <w:rsid w:val="00DC1A70"/>
    <w:rsid w:val="00DC37D4"/>
    <w:rsid w:val="00DD0C39"/>
    <w:rsid w:val="00DD598E"/>
    <w:rsid w:val="00DE206D"/>
    <w:rsid w:val="00DF16BD"/>
    <w:rsid w:val="00E2078F"/>
    <w:rsid w:val="00E21BD0"/>
    <w:rsid w:val="00E332A0"/>
    <w:rsid w:val="00E40F36"/>
    <w:rsid w:val="00E42DF7"/>
    <w:rsid w:val="00E45864"/>
    <w:rsid w:val="00E54F6B"/>
    <w:rsid w:val="00E616F0"/>
    <w:rsid w:val="00E66FBA"/>
    <w:rsid w:val="00E7152E"/>
    <w:rsid w:val="00E765E0"/>
    <w:rsid w:val="00E830AA"/>
    <w:rsid w:val="00E90D3F"/>
    <w:rsid w:val="00E91C18"/>
    <w:rsid w:val="00E952D4"/>
    <w:rsid w:val="00EB1288"/>
    <w:rsid w:val="00EB259D"/>
    <w:rsid w:val="00EC14F8"/>
    <w:rsid w:val="00EE58FD"/>
    <w:rsid w:val="00F0143E"/>
    <w:rsid w:val="00F03249"/>
    <w:rsid w:val="00F03E52"/>
    <w:rsid w:val="00F04E3C"/>
    <w:rsid w:val="00F179ED"/>
    <w:rsid w:val="00F32628"/>
    <w:rsid w:val="00F7441F"/>
    <w:rsid w:val="00F77460"/>
    <w:rsid w:val="00FA7DAE"/>
    <w:rsid w:val="00FB69ED"/>
    <w:rsid w:val="00FE7E72"/>
    <w:rsid w:val="00FF0CC8"/>
    <w:rsid w:val="00FF5F6B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CC505B"/>
  <w15:chartTrackingRefBased/>
  <w15:docId w15:val="{4F569C38-C464-4BD6-A71D-08F47C7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31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1DE"/>
  </w:style>
  <w:style w:type="paragraph" w:styleId="Footer">
    <w:name w:val="footer"/>
    <w:basedOn w:val="Normal"/>
    <w:link w:val="FooterChar"/>
    <w:uiPriority w:val="99"/>
    <w:unhideWhenUsed/>
    <w:rsid w:val="007031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1DE"/>
  </w:style>
  <w:style w:type="paragraph" w:styleId="BalloonText">
    <w:name w:val="Balloon Text"/>
    <w:basedOn w:val="Normal"/>
    <w:link w:val="BalloonTextChar"/>
    <w:uiPriority w:val="99"/>
    <w:semiHidden/>
    <w:unhideWhenUsed/>
    <w:rsid w:val="00D42B1A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E10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E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143E"/>
    <w:pPr>
      <w:spacing w:before="100" w:beforeAutospacing="1" w:after="100" w:afterAutospacing="1"/>
    </w:pPr>
  </w:style>
  <w:style w:type="paragraph" w:customStyle="1" w:styleId="Marge">
    <w:name w:val="Marge"/>
    <w:basedOn w:val="Normal"/>
    <w:link w:val="MargeChar"/>
    <w:rsid w:val="00BE3079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en-GB"/>
    </w:rPr>
  </w:style>
  <w:style w:type="character" w:customStyle="1" w:styleId="MargeChar">
    <w:name w:val="Marge Char"/>
    <w:basedOn w:val="DefaultParagraphFont"/>
    <w:link w:val="Marge"/>
    <w:rsid w:val="00BE3079"/>
    <w:rPr>
      <w:rFonts w:ascii="Arial" w:eastAsia="Times New Roman" w:hAnsi="Arial" w:cs="Times New Roman"/>
      <w:snapToGrid w:val="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441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D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85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22098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nesdoc.unesco.org/ark:/48223/pf0000265141.locale=en" TargetMode="External"/><Relationship Id="rId12" Type="http://schemas.openxmlformats.org/officeDocument/2006/relationships/hyperlink" Target="https://unesdoc.unesco.org/ark:/48223/pf0000265141.locale=en" TargetMode="External"/><Relationship Id="rId17" Type="http://schemas.openxmlformats.org/officeDocument/2006/relationships/hyperlink" Target="https://unesdoc.unesco.org/ark:/48223/pf0000265141.locale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esdoc.unesco.org/ark:/48223/pf0000134696.locale=en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A/RES/72/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esdoc.unesco.org/ark:/48223/pf0000222986.locale=en" TargetMode="External"/><Relationship Id="rId10" Type="http://schemas.openxmlformats.org/officeDocument/2006/relationships/hyperlink" Target="http://www.ioc-unesco.org/index.php?option=com_oe&amp;task=viewDocumentRecord&amp;docID=2209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nesdoc.unesco.org/ark:/48223/pf0000265141.locale=en" TargetMode="External"/><Relationship Id="rId14" Type="http://schemas.openxmlformats.org/officeDocument/2006/relationships/hyperlink" Target="https://unesdoc.unesco.org/ark:/48223/pf0000222986.locale=e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4027</Words>
  <Characters>22955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Ход выполнения «дорожной карты» по подготовке плана проведения Десятилетия Организации Объединенных Наций, посвященного науке об океане в интересах устойчивого развития (2021-2030 гг.)_x000d_
</vt:lpstr>
      <vt:lpstr/>
    </vt:vector>
  </TitlesOfParts>
  <Company>UNESCO</Company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выполнения «дорожной карты» по подготовке плана проведения Десятилетия Организации Объединенных Наций, посвященного науке об океане в интересах устойчивого развития (2021-2030 гг.)</dc:title>
  <dc:subject>IOC-XXX/2 ANNEX 3 ADD</dc:subject>
  <dc:creator>Aarup, T.</dc:creator>
  <cp:keywords>0</cp:keywords>
  <dc:description/>
  <cp:lastModifiedBy>Pastor Reyes, Ingrid</cp:lastModifiedBy>
  <cp:revision>2</cp:revision>
  <cp:lastPrinted>2019-06-20T07:55:00Z</cp:lastPrinted>
  <dcterms:created xsi:type="dcterms:W3CDTF">2019-06-20T15:32:00Z</dcterms:created>
  <dcterms:modified xsi:type="dcterms:W3CDTF">2019-06-20T15:32:00Z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natali.bogdanova</vt:lpwstr>
  </property>
  <property fmtid="{D5CDD505-2E9C-101B-9397-08002B2CF9AE}" pid="4" name="GeneratedDate">
    <vt:lpwstr>6/17/2019 12:45:49 PM</vt:lpwstr>
  </property>
  <property fmtid="{D5CDD505-2E9C-101B-9397-08002B2CF9AE}" pid="5" name="OriginalDocID">
    <vt:lpwstr>fee79c47-45dc-4912-b13a-0f4cfd2a065a</vt:lpwstr>
  </property>
  <property fmtid="{D5CDD505-2E9C-101B-9397-08002B2CF9AE}" pid="6" name="JobDCPMS">
    <vt:lpwstr>1908918</vt:lpwstr>
  </property>
  <property fmtid="{D5CDD505-2E9C-101B-9397-08002B2CF9AE}" pid="7" name="Language">
    <vt:lpwstr>R</vt:lpwstr>
  </property>
</Properties>
</file>