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tblGrid>
      <w:tr w:rsidR="00F925A2" w:rsidRPr="00DC5BF5" w:rsidTr="005E6CE7">
        <w:trPr>
          <w:jc w:val="center"/>
        </w:trPr>
        <w:tc>
          <w:tcPr>
            <w:tcW w:w="8359" w:type="dxa"/>
            <w:tcMar>
              <w:top w:w="170" w:type="dxa"/>
              <w:left w:w="170" w:type="dxa"/>
              <w:bottom w:w="170" w:type="dxa"/>
              <w:right w:w="170" w:type="dxa"/>
            </w:tcMar>
          </w:tcPr>
          <w:p w:rsidR="00F925A2" w:rsidRPr="005E6CE7" w:rsidRDefault="00F925A2" w:rsidP="004A0312">
            <w:pPr>
              <w:pStyle w:val="Marge"/>
              <w:spacing w:before="120"/>
              <w:jc w:val="center"/>
              <w:rPr>
                <w:rFonts w:cs="Arial"/>
                <w:lang w:val="fr-FR"/>
              </w:rPr>
            </w:pPr>
            <w:bookmarkStart w:id="0" w:name="_GoBack"/>
            <w:bookmarkEnd w:id="0"/>
            <w:r w:rsidRPr="005E6CE7">
              <w:rPr>
                <w:rFonts w:cs="Arial"/>
                <w:u w:val="single"/>
                <w:lang w:val="fr-FR"/>
              </w:rPr>
              <w:t>Résumé</w:t>
            </w:r>
          </w:p>
          <w:p w:rsidR="005E6CE7" w:rsidRPr="005E6CE7" w:rsidRDefault="005E6CE7" w:rsidP="005E6CE7">
            <w:pPr>
              <w:tabs>
                <w:tab w:val="left" w:pos="567"/>
              </w:tabs>
              <w:snapToGrid w:val="0"/>
              <w:spacing w:before="240" w:after="240" w:line="240" w:lineRule="auto"/>
              <w:ind w:left="284" w:right="284"/>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 xml:space="preserve">Le présent document a été établi en application de la décision </w:t>
            </w:r>
            <w:hyperlink r:id="rId8" w:history="1">
              <w:r w:rsidRPr="005E6CE7">
                <w:rPr>
                  <w:rFonts w:eastAsia="Times New Roman" w:cs="Times New Roman"/>
                  <w:snapToGrid w:val="0"/>
                  <w:color w:val="0000FF"/>
                  <w:szCs w:val="24"/>
                  <w:u w:val="single"/>
                  <w:lang w:val="fr-FR" w:eastAsia="en-US"/>
                </w:rPr>
                <w:t>EC</w:t>
              </w:r>
              <w:r w:rsidRPr="005E6CE7">
                <w:rPr>
                  <w:rFonts w:eastAsia="Times New Roman" w:cs="Times New Roman"/>
                  <w:snapToGrid w:val="0"/>
                  <w:color w:val="0000FF"/>
                  <w:szCs w:val="24"/>
                  <w:u w:val="single"/>
                  <w:lang w:val="fr-FR" w:eastAsia="en-US"/>
                </w:rPr>
                <w:noBreakHyphen/>
                <w:t>LI/4.9</w:t>
              </w:r>
            </w:hyperlink>
            <w:r w:rsidRPr="005E6CE7">
              <w:rPr>
                <w:rFonts w:eastAsia="Times New Roman" w:cs="Times New Roman"/>
                <w:snapToGrid w:val="0"/>
                <w:szCs w:val="24"/>
                <w:lang w:val="fr-FR" w:eastAsia="en-US"/>
              </w:rPr>
              <w:t xml:space="preserve"> par laquelle le Conseil exécutif a décidé, en 2018, de </w:t>
            </w:r>
            <w:r w:rsidR="000104BF">
              <w:rPr>
                <w:rFonts w:eastAsia="Times New Roman" w:cs="Times New Roman"/>
                <w:snapToGrid w:val="0"/>
                <w:szCs w:val="24"/>
                <w:lang w:val="fr-FR" w:eastAsia="en-US"/>
              </w:rPr>
              <w:t>poursuivre la mise en œuvre d’</w:t>
            </w:r>
            <w:r w:rsidRPr="005E6CE7">
              <w:rPr>
                <w:rFonts w:eastAsia="Times New Roman" w:cs="Times New Roman"/>
                <w:snapToGrid w:val="0"/>
                <w:szCs w:val="24"/>
                <w:lang w:val="fr-FR" w:eastAsia="en-US"/>
              </w:rPr>
              <w:t xml:space="preserve">activités d’initiation à l’océan, et a prié le Secrétariat d’élaborer un plan d’action à soumettre à l’examen de l’Assemblée de la COI en 2019. Le </w:t>
            </w:r>
            <w:r w:rsidR="00364E67">
              <w:rPr>
                <w:rFonts w:eastAsia="Times New Roman" w:cs="Times New Roman"/>
                <w:snapToGrid w:val="0"/>
                <w:szCs w:val="24"/>
                <w:lang w:val="fr-FR" w:eastAsia="en-US"/>
              </w:rPr>
              <w:t>P</w:t>
            </w:r>
            <w:r w:rsidRPr="005E6CE7">
              <w:rPr>
                <w:rFonts w:eastAsia="Times New Roman" w:cs="Times New Roman"/>
                <w:snapToGrid w:val="0"/>
                <w:szCs w:val="24"/>
                <w:lang w:val="fr-FR" w:eastAsia="en-US"/>
              </w:rPr>
              <w:t>lan d’action pour l’initiation à l’océan présenté au paragraphe 9 comporte 6 </w:t>
            </w:r>
            <w:r w:rsidR="000104BF">
              <w:rPr>
                <w:rFonts w:eastAsia="Times New Roman" w:cs="Times New Roman"/>
                <w:snapToGrid w:val="0"/>
                <w:szCs w:val="24"/>
                <w:lang w:val="fr-FR" w:eastAsia="en-US"/>
              </w:rPr>
              <w:t>produits</w:t>
            </w:r>
            <w:r w:rsidRPr="005E6CE7">
              <w:rPr>
                <w:rFonts w:eastAsia="Times New Roman" w:cs="Times New Roman"/>
                <w:snapToGrid w:val="0"/>
                <w:szCs w:val="24"/>
                <w:lang w:val="fr-FR" w:eastAsia="en-US"/>
              </w:rPr>
              <w:t xml:space="preserve"> ou priorités, 16 activités et 29 actions. La première partie du présent document expose le cadre général des activités de la COI en matière d’initiation à l’océan, ainsi qu’une liste de ces activités pour la période 2017</w:t>
            </w:r>
            <w:r w:rsidR="009C4F4C">
              <w:rPr>
                <w:rFonts w:eastAsia="Times New Roman" w:cs="Times New Roman"/>
                <w:snapToGrid w:val="0"/>
                <w:szCs w:val="24"/>
                <w:lang w:val="fr-FR" w:eastAsia="en-US"/>
              </w:rPr>
              <w:noBreakHyphen/>
            </w:r>
            <w:r w:rsidRPr="005E6CE7">
              <w:rPr>
                <w:rFonts w:eastAsia="Times New Roman" w:cs="Times New Roman"/>
                <w:snapToGrid w:val="0"/>
                <w:szCs w:val="24"/>
                <w:lang w:val="fr-FR" w:eastAsia="en-US"/>
              </w:rPr>
              <w:t>2019.</w:t>
            </w:r>
          </w:p>
          <w:p w:rsidR="005E6CE7" w:rsidRPr="005E6CE7" w:rsidRDefault="005E6CE7" w:rsidP="005E6CE7">
            <w:pPr>
              <w:tabs>
                <w:tab w:val="left" w:pos="567"/>
              </w:tabs>
              <w:snapToGrid w:val="0"/>
              <w:spacing w:before="240" w:after="240" w:line="240" w:lineRule="auto"/>
              <w:ind w:left="284" w:right="284"/>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L’initiation à l’océan est un moyen essentiel d’améliorer la connaissance de l’océan, mais aussi d’encourager les citoyens et les acteurs concernés à jouer un rôle actif dans la mise en œuvre d’actions durables, tant au plan individuel que collectif. L’un des objectifs sociétaux de la</w:t>
            </w:r>
            <w:r w:rsidRPr="005E6CE7">
              <w:rPr>
                <w:rFonts w:ascii="Helvetica" w:eastAsia="SimSun" w:hAnsi="Helvetica" w:cs="Times New Roman"/>
                <w:snapToGrid w:val="0"/>
                <w:color w:val="6B16A5"/>
                <w:sz w:val="21"/>
                <w:szCs w:val="21"/>
                <w:shd w:val="clear" w:color="auto" w:fill="F5F5F5"/>
                <w:lang w:val="fr-FR"/>
              </w:rPr>
              <w:t xml:space="preserve"> </w:t>
            </w:r>
            <w:r w:rsidRPr="005E6CE7">
              <w:rPr>
                <w:rFonts w:eastAsia="Times New Roman" w:cs="Times New Roman"/>
                <w:snapToGrid w:val="0"/>
                <w:szCs w:val="24"/>
                <w:lang w:val="fr-FR" w:eastAsia="en-US"/>
              </w:rPr>
              <w:t>Décennie des Nations Unies pour les sciences océaniques au service du développement durable (2021</w:t>
            </w:r>
            <w:r w:rsidR="009C4F4C">
              <w:rPr>
                <w:rFonts w:eastAsia="Times New Roman" w:cs="Times New Roman"/>
                <w:snapToGrid w:val="0"/>
                <w:szCs w:val="24"/>
                <w:lang w:val="fr-FR" w:eastAsia="en-US"/>
              </w:rPr>
              <w:noBreakHyphen/>
            </w:r>
            <w:r w:rsidRPr="005E6CE7">
              <w:rPr>
                <w:rFonts w:eastAsia="Times New Roman" w:cs="Times New Roman"/>
                <w:snapToGrid w:val="0"/>
                <w:szCs w:val="24"/>
                <w:lang w:val="fr-FR" w:eastAsia="en-US"/>
              </w:rPr>
              <w:t>2030) est celui d’un océan transparent et accessible, grâce auquel l’ensemble des nations, des parties prenantes et des citoyens ont accès aux données/informations et technologies océaniques et ont la capacité de prendre des décisions éclairées.</w:t>
            </w:r>
          </w:p>
          <w:p w:rsidR="005E6CE7" w:rsidRPr="005E6CE7" w:rsidRDefault="005E6CE7" w:rsidP="005E6CE7">
            <w:pPr>
              <w:tabs>
                <w:tab w:val="left" w:pos="567"/>
              </w:tabs>
              <w:snapToGrid w:val="0"/>
              <w:spacing w:before="240" w:after="240" w:line="240" w:lineRule="auto"/>
              <w:ind w:left="284" w:right="284"/>
              <w:jc w:val="both"/>
              <w:rPr>
                <w:rFonts w:eastAsia="Times New Roman" w:cs="Times New Roman"/>
                <w:snapToGrid w:val="0"/>
                <w:szCs w:val="24"/>
                <w:lang w:val="fr-FR" w:eastAsia="en-US"/>
              </w:rPr>
            </w:pPr>
            <w:r w:rsidRPr="005E6CE7">
              <w:rPr>
                <w:rFonts w:eastAsia="Times New Roman" w:cs="Times New Roman"/>
                <w:snapToGrid w:val="0"/>
                <w:szCs w:val="24"/>
                <w:u w:val="single"/>
                <w:lang w:val="fr-FR" w:eastAsia="en-US"/>
              </w:rPr>
              <w:t>Incidences financières et administratives</w:t>
            </w:r>
            <w:r w:rsidRPr="005E6CE7">
              <w:rPr>
                <w:rFonts w:eastAsia="Times New Roman" w:cs="Times New Roman"/>
                <w:snapToGrid w:val="0"/>
                <w:szCs w:val="24"/>
                <w:lang w:val="fr-FR" w:eastAsia="en-US"/>
              </w:rPr>
              <w:t> : voir le paragraphe 10. Le budget consacré à l’élaboration d’activités d’initiation à l’océan sera déterminé</w:t>
            </w:r>
            <w:r w:rsidRPr="005E6CE7">
              <w:rPr>
                <w:rFonts w:eastAsia="SimSun" w:cs="Times New Roman"/>
                <w:snapToGrid w:val="0"/>
                <w:color w:val="333333"/>
                <w:sz w:val="30"/>
                <w:szCs w:val="30"/>
                <w:shd w:val="clear" w:color="auto" w:fill="FFFFFF"/>
                <w:lang w:val="fr-FR"/>
              </w:rPr>
              <w:t xml:space="preserve"> </w:t>
            </w:r>
            <w:r w:rsidRPr="005E6CE7">
              <w:rPr>
                <w:rFonts w:eastAsia="Times New Roman" w:cs="Times New Roman"/>
                <w:snapToGrid w:val="0"/>
                <w:szCs w:val="24"/>
                <w:lang w:val="fr-FR" w:eastAsia="en-US"/>
              </w:rPr>
              <w:t>par</w:t>
            </w:r>
            <w:r w:rsidR="009C4F4C">
              <w:rPr>
                <w:rFonts w:eastAsia="Times New Roman" w:cs="Times New Roman"/>
                <w:snapToGrid w:val="0"/>
                <w:szCs w:val="24"/>
                <w:lang w:val="fr-FR" w:eastAsia="en-US"/>
              </w:rPr>
              <w:t> </w:t>
            </w:r>
            <w:r w:rsidRPr="005E6CE7">
              <w:rPr>
                <w:rFonts w:eastAsia="Times New Roman" w:cs="Times New Roman"/>
                <w:snapToGrid w:val="0"/>
                <w:szCs w:val="24"/>
                <w:lang w:val="fr-FR" w:eastAsia="en-US"/>
              </w:rPr>
              <w:t>la</w:t>
            </w:r>
            <w:r w:rsidR="009C4F4C">
              <w:rPr>
                <w:rFonts w:eastAsia="Times New Roman" w:cs="Times New Roman"/>
                <w:snapToGrid w:val="0"/>
                <w:szCs w:val="24"/>
                <w:lang w:val="fr-FR" w:eastAsia="en-US"/>
              </w:rPr>
              <w:t> </w:t>
            </w:r>
            <w:r w:rsidRPr="005E6CE7">
              <w:rPr>
                <w:rFonts w:eastAsia="Times New Roman" w:cs="Times New Roman"/>
                <w:snapToGrid w:val="0"/>
                <w:szCs w:val="24"/>
                <w:lang w:val="fr-FR" w:eastAsia="en-US"/>
              </w:rPr>
              <w:t>décision sur l’allocation budgétaire dans le cadre du projet de résolution</w:t>
            </w:r>
            <w:r w:rsidR="009C4F4C">
              <w:rPr>
                <w:rFonts w:eastAsia="Times New Roman" w:cs="Times New Roman"/>
                <w:snapToGrid w:val="0"/>
                <w:szCs w:val="24"/>
                <w:lang w:val="fr-FR" w:eastAsia="en-US"/>
              </w:rPr>
              <w:t> </w:t>
            </w:r>
            <w:r w:rsidRPr="005E6CE7">
              <w:rPr>
                <w:rFonts w:eastAsia="Times New Roman" w:cs="Times New Roman"/>
                <w:snapToGrid w:val="0"/>
                <w:szCs w:val="24"/>
                <w:lang w:val="fr-FR" w:eastAsia="en-US"/>
              </w:rPr>
              <w:t>XXX</w:t>
            </w:r>
            <w:r w:rsidR="000104BF">
              <w:rPr>
                <w:rFonts w:eastAsia="Times New Roman" w:cs="Times New Roman"/>
                <w:snapToGrid w:val="0"/>
                <w:szCs w:val="24"/>
                <w:lang w:val="fr-FR" w:eastAsia="en-US"/>
              </w:rPr>
              <w:noBreakHyphen/>
            </w:r>
            <w:r w:rsidRPr="005E6CE7">
              <w:rPr>
                <w:rFonts w:eastAsia="Times New Roman" w:cs="Times New Roman"/>
                <w:snapToGrid w:val="0"/>
                <w:szCs w:val="24"/>
                <w:lang w:val="fr-FR" w:eastAsia="en-US"/>
              </w:rPr>
              <w:t xml:space="preserve">(12) relatif au Programme et budget global de la COI. </w:t>
            </w:r>
          </w:p>
          <w:p w:rsidR="00F925A2" w:rsidRPr="005E6CE7" w:rsidRDefault="005E6CE7" w:rsidP="00444976">
            <w:pPr>
              <w:tabs>
                <w:tab w:val="left" w:pos="567"/>
              </w:tabs>
              <w:snapToGrid w:val="0"/>
              <w:spacing w:before="240" w:after="120" w:line="240" w:lineRule="auto"/>
              <w:ind w:left="284" w:right="284"/>
              <w:jc w:val="both"/>
              <w:rPr>
                <w:rFonts w:cs="Arial"/>
                <w:lang w:val="fr-FR"/>
              </w:rPr>
            </w:pPr>
            <w:r w:rsidRPr="005E6CE7">
              <w:rPr>
                <w:rFonts w:eastAsia="Times New Roman" w:cs="Times New Roman"/>
                <w:snapToGrid w:val="0"/>
                <w:szCs w:val="24"/>
                <w:u w:val="single"/>
                <w:lang w:val="fr-FR" w:eastAsia="en-US"/>
              </w:rPr>
              <w:t>La décision proposée</w:t>
            </w:r>
            <w:r w:rsidRPr="005E6CE7">
              <w:rPr>
                <w:rFonts w:eastAsia="Times New Roman" w:cs="Times New Roman"/>
                <w:snapToGrid w:val="0"/>
                <w:szCs w:val="24"/>
                <w:lang w:val="fr-FR" w:eastAsia="en-US"/>
              </w:rPr>
              <w:t xml:space="preserve"> porte la cote </w:t>
            </w:r>
            <w:r w:rsidRPr="005E6CE7">
              <w:rPr>
                <w:rFonts w:eastAsia="Times New Roman" w:cs="Times New Roman"/>
                <w:bCs/>
                <w:snapToGrid w:val="0"/>
                <w:szCs w:val="24"/>
                <w:lang w:val="fr-FR" w:eastAsia="en-US"/>
              </w:rPr>
              <w:t>IOC-XXX/Déc., 11.2</w:t>
            </w:r>
            <w:r w:rsidRPr="005E6CE7">
              <w:rPr>
                <w:rFonts w:eastAsia="Times New Roman" w:cs="Times New Roman"/>
                <w:snapToGrid w:val="0"/>
                <w:szCs w:val="24"/>
                <w:lang w:val="fr-FR" w:eastAsia="en-US"/>
              </w:rPr>
              <w:t xml:space="preserve"> dans le Document relatif aux</w:t>
            </w:r>
            <w:r>
              <w:rPr>
                <w:rFonts w:eastAsia="Times New Roman" w:cs="Times New Roman"/>
                <w:snapToGrid w:val="0"/>
                <w:szCs w:val="24"/>
                <w:lang w:val="fr-FR" w:eastAsia="en-US"/>
              </w:rPr>
              <w:t xml:space="preserve"> décisions à adopter (document </w:t>
            </w:r>
            <w:r w:rsidRPr="005E6CE7">
              <w:rPr>
                <w:rFonts w:eastAsia="Times New Roman" w:cs="Times New Roman"/>
                <w:snapToGrid w:val="0"/>
                <w:szCs w:val="24"/>
                <w:lang w:val="fr-FR" w:eastAsia="en-US"/>
              </w:rPr>
              <w:t>IOC-XXX/2 Prov.).</w:t>
            </w:r>
          </w:p>
        </w:tc>
      </w:tr>
    </w:tbl>
    <w:p w:rsidR="00F925A2" w:rsidRPr="005E6CE7" w:rsidRDefault="00F925A2" w:rsidP="00F925A2">
      <w:pPr>
        <w:pStyle w:val="Heading3"/>
        <w:ind w:left="720" w:firstLine="0"/>
        <w:rPr>
          <w:lang w:val="fr-FR"/>
        </w:rPr>
        <w:sectPr w:rsidR="00F925A2" w:rsidRPr="005E6CE7" w:rsidSect="00D55478">
          <w:headerReference w:type="even" r:id="rId9"/>
          <w:headerReference w:type="default" r:id="rId10"/>
          <w:headerReference w:type="first" r:id="rId11"/>
          <w:pgSz w:w="11906" w:h="16838" w:code="9"/>
          <w:pgMar w:top="1134" w:right="1141" w:bottom="1418" w:left="1148" w:header="708" w:footer="708" w:gutter="0"/>
          <w:cols w:space="708"/>
          <w:titlePg/>
          <w:docGrid w:linePitch="360"/>
        </w:sectPr>
      </w:pPr>
    </w:p>
    <w:p w:rsidR="005E6CE7" w:rsidRPr="005E6CE7" w:rsidRDefault="005E6CE7" w:rsidP="005E6CE7">
      <w:pPr>
        <w:keepNext/>
        <w:keepLines/>
        <w:tabs>
          <w:tab w:val="left" w:pos="567"/>
        </w:tabs>
        <w:snapToGrid w:val="0"/>
        <w:spacing w:after="240" w:line="240" w:lineRule="auto"/>
        <w:outlineLvl w:val="3"/>
        <w:rPr>
          <w:rFonts w:eastAsia="Times New Roman" w:cs="Times New Roman"/>
          <w:b/>
          <w:bCs/>
          <w:snapToGrid w:val="0"/>
          <w:szCs w:val="24"/>
          <w:lang w:val="fr-FR" w:eastAsia="en-US"/>
        </w:rPr>
      </w:pPr>
      <w:bookmarkStart w:id="1" w:name="_u3o9udoc07h0" w:colFirst="0" w:colLast="0"/>
      <w:bookmarkStart w:id="2" w:name="_a8s7uhxlefx5" w:colFirst="0" w:colLast="0"/>
      <w:bookmarkEnd w:id="1"/>
      <w:bookmarkEnd w:id="2"/>
      <w:r w:rsidRPr="005E6CE7">
        <w:rPr>
          <w:rFonts w:eastAsia="Times New Roman" w:cs="Times New Roman"/>
          <w:b/>
          <w:bCs/>
          <w:snapToGrid w:val="0"/>
          <w:szCs w:val="24"/>
          <w:lang w:val="fr-FR" w:eastAsia="en-US"/>
        </w:rPr>
        <w:lastRenderedPageBreak/>
        <w:t>Contexte</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1.</w:t>
      </w:r>
      <w:r w:rsidRPr="005E6CE7">
        <w:rPr>
          <w:rFonts w:eastAsia="Times New Roman" w:cs="Times New Roman"/>
          <w:snapToGrid w:val="0"/>
          <w:szCs w:val="24"/>
          <w:lang w:val="fr-FR" w:eastAsia="en-US"/>
        </w:rPr>
        <w:tab/>
        <w:t>Le présent plan d’action a été établi conformément à la décision EC-LI/4</w:t>
      </w:r>
      <w:r w:rsidR="000104BF">
        <w:rPr>
          <w:rFonts w:eastAsia="Times New Roman" w:cs="Times New Roman"/>
          <w:snapToGrid w:val="0"/>
          <w:szCs w:val="24"/>
          <w:lang w:val="fr-FR" w:eastAsia="en-US"/>
        </w:rPr>
        <w:t>.9</w:t>
      </w:r>
      <w:r w:rsidRPr="005E6CE7">
        <w:rPr>
          <w:rFonts w:eastAsia="Times New Roman" w:cs="Times New Roman"/>
          <w:snapToGrid w:val="0"/>
          <w:szCs w:val="24"/>
          <w:lang w:val="fr-FR" w:eastAsia="en-US"/>
        </w:rPr>
        <w:t xml:space="preserve"> afin d’aider les autorités locales et nationales, les institutions universitaires et </w:t>
      </w:r>
      <w:r w:rsidR="000104BF">
        <w:rPr>
          <w:rFonts w:eastAsia="Times New Roman" w:cs="Times New Roman"/>
          <w:snapToGrid w:val="0"/>
          <w:szCs w:val="24"/>
          <w:lang w:val="fr-FR" w:eastAsia="en-US"/>
        </w:rPr>
        <w:t xml:space="preserve">les établissements </w:t>
      </w:r>
      <w:r w:rsidRPr="005E6CE7">
        <w:rPr>
          <w:rFonts w:eastAsia="Times New Roman" w:cs="Times New Roman"/>
          <w:snapToGrid w:val="0"/>
          <w:szCs w:val="24"/>
          <w:lang w:val="fr-FR" w:eastAsia="en-US"/>
        </w:rPr>
        <w:t>de recherche</w:t>
      </w:r>
      <w:r w:rsidR="000104BF">
        <w:rPr>
          <w:rFonts w:eastAsia="Times New Roman" w:cs="Times New Roman"/>
          <w:snapToGrid w:val="0"/>
          <w:szCs w:val="24"/>
          <w:lang w:val="fr-FR" w:eastAsia="en-US"/>
        </w:rPr>
        <w:t>,</w:t>
      </w:r>
      <w:r w:rsidRPr="005E6CE7">
        <w:rPr>
          <w:rFonts w:eastAsia="Times New Roman" w:cs="Times New Roman"/>
          <w:snapToGrid w:val="0"/>
          <w:szCs w:val="24"/>
          <w:lang w:val="fr-FR" w:eastAsia="en-US"/>
        </w:rPr>
        <w:t xml:space="preserve"> ainsi que les organisations internationales, les organisations non gouvernementales et les donateurs à adopter une approche cohérente de la conception et de la mise en œuvre des futures activités d’initiation à l’océan, en particulier dans le cadre de la prochaine Décennie des Nations Unies pour les sciences océaniques au service du développement durable.</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2.</w:t>
      </w:r>
      <w:r w:rsidRPr="005E6CE7">
        <w:rPr>
          <w:rFonts w:eastAsia="Times New Roman" w:cs="Times New Roman"/>
          <w:snapToGrid w:val="0"/>
          <w:szCs w:val="24"/>
          <w:lang w:val="fr-FR" w:eastAsia="en-US"/>
        </w:rPr>
        <w:tab/>
      </w:r>
      <w:r w:rsidR="000104BF">
        <w:rPr>
          <w:rFonts w:eastAsia="Times New Roman" w:cs="Times New Roman"/>
          <w:snapToGrid w:val="0"/>
          <w:szCs w:val="24"/>
          <w:lang w:val="fr-FR" w:eastAsia="en-US"/>
        </w:rPr>
        <w:t>Afin</w:t>
      </w:r>
      <w:r w:rsidRPr="005E6CE7">
        <w:rPr>
          <w:rFonts w:eastAsia="Times New Roman" w:cs="Times New Roman"/>
          <w:snapToGrid w:val="0"/>
          <w:szCs w:val="24"/>
          <w:lang w:val="fr-FR" w:eastAsia="en-US"/>
        </w:rPr>
        <w:t xml:space="preserve"> d’assurer la cohérence entre les activités d’initiation à l’océan et les programmes mondiaux et activités régionales de la COI, le plan d’acti</w:t>
      </w:r>
      <w:r w:rsidR="000104BF">
        <w:rPr>
          <w:rFonts w:eastAsia="Times New Roman" w:cs="Times New Roman"/>
          <w:snapToGrid w:val="0"/>
          <w:szCs w:val="24"/>
          <w:lang w:val="fr-FR" w:eastAsia="en-US"/>
        </w:rPr>
        <w:t>on a été élaboré à l’issue d’un</w:t>
      </w:r>
      <w:r w:rsidRPr="005E6CE7">
        <w:rPr>
          <w:rFonts w:eastAsia="Times New Roman" w:cs="Times New Roman"/>
          <w:snapToGrid w:val="0"/>
          <w:szCs w:val="24"/>
          <w:lang w:val="fr-FR" w:eastAsia="en-US"/>
        </w:rPr>
        <w:t xml:space="preserve"> vaste </w:t>
      </w:r>
      <w:r w:rsidR="000104BF">
        <w:rPr>
          <w:rFonts w:eastAsia="Times New Roman" w:cs="Times New Roman"/>
          <w:snapToGrid w:val="0"/>
          <w:szCs w:val="24"/>
          <w:lang w:val="fr-FR" w:eastAsia="en-US"/>
        </w:rPr>
        <w:t xml:space="preserve">processus de </w:t>
      </w:r>
      <w:r w:rsidRPr="005E6CE7">
        <w:rPr>
          <w:rFonts w:eastAsia="Times New Roman" w:cs="Times New Roman"/>
          <w:snapToGrid w:val="0"/>
          <w:szCs w:val="24"/>
          <w:lang w:val="fr-FR" w:eastAsia="en-US"/>
        </w:rPr>
        <w:t>consultation au sein du Secrétariat et des organes subsidiaires régionaux de la Commission. Le présent document a également bénéficié de l’apport d’experts nationaux de l’initiation à l’océan à l’occasion de plusieurs ateliers et conférences thématiques, notamment lors de la première conférence internationale sur l’initiation à l’océan (Venise, 4-6 décembre 2017). Par ailleurs, le plan d’action réaffirme le caractère transversal et stratégique de l’initiation à l’océan, conformément au produit 5 – « Amélioration de la visibilité et de la sensibilisation » – de la Stratégie de la COI pour le développement des capacités 2015-2021 (</w:t>
      </w:r>
      <w:hyperlink r:id="rId12" w:history="1">
        <w:r w:rsidRPr="005E6CE7">
          <w:rPr>
            <w:rFonts w:eastAsia="Times New Roman" w:cs="Times New Roman"/>
            <w:snapToGrid w:val="0"/>
            <w:color w:val="0000FF"/>
            <w:szCs w:val="24"/>
            <w:u w:val="single"/>
            <w:lang w:val="fr-FR" w:eastAsia="en-US"/>
          </w:rPr>
          <w:t>IOC/INF-1332</w:t>
        </w:r>
      </w:hyperlink>
      <w:r w:rsidRPr="005E6CE7">
        <w:rPr>
          <w:rFonts w:eastAsia="Times New Roman" w:cs="Times New Roman"/>
          <w:snapToGrid w:val="0"/>
          <w:szCs w:val="24"/>
          <w:lang w:val="fr-FR" w:eastAsia="en-US"/>
        </w:rPr>
        <w:t>).</w:t>
      </w:r>
    </w:p>
    <w:p w:rsidR="005E6CE7" w:rsidRPr="005E6CE7" w:rsidRDefault="005E6CE7" w:rsidP="005E6CE7">
      <w:pPr>
        <w:keepNext/>
        <w:keepLines/>
        <w:tabs>
          <w:tab w:val="left" w:pos="567"/>
        </w:tabs>
        <w:snapToGrid w:val="0"/>
        <w:spacing w:after="240" w:line="240" w:lineRule="auto"/>
        <w:outlineLvl w:val="3"/>
        <w:rPr>
          <w:rFonts w:eastAsia="Times New Roman" w:cs="Times New Roman"/>
          <w:b/>
          <w:bCs/>
          <w:snapToGrid w:val="0"/>
          <w:szCs w:val="24"/>
          <w:lang w:val="fr-FR" w:eastAsia="en-US"/>
        </w:rPr>
      </w:pPr>
      <w:r w:rsidRPr="005E6CE7">
        <w:rPr>
          <w:rFonts w:eastAsia="Times New Roman" w:cs="Times New Roman"/>
          <w:b/>
          <w:bCs/>
          <w:snapToGrid w:val="0"/>
          <w:szCs w:val="24"/>
          <w:lang w:val="fr-FR" w:eastAsia="en-US"/>
        </w:rPr>
        <w:t>L’initiation à l’océan : un cadre en constante évolution</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3.</w:t>
      </w:r>
      <w:r w:rsidRPr="005E6CE7">
        <w:rPr>
          <w:rFonts w:eastAsia="Times New Roman" w:cs="Times New Roman"/>
          <w:snapToGrid w:val="0"/>
          <w:szCs w:val="24"/>
          <w:lang w:val="fr-FR" w:eastAsia="en-US"/>
        </w:rPr>
        <w:tab/>
      </w:r>
      <w:r w:rsidRPr="003322D4">
        <w:rPr>
          <w:rFonts w:eastAsia="Times New Roman" w:cs="Times New Roman"/>
          <w:snapToGrid w:val="0"/>
          <w:szCs w:val="24"/>
          <w:lang w:val="fr-FR" w:eastAsia="en-US"/>
        </w:rPr>
        <w:t>Répondre aux enjeux liés à l’océan grâce à des liens conceptuels avec les sciences et les questions sociétales mondiales</w:t>
      </w:r>
      <w:r w:rsidRPr="005E6CE7">
        <w:rPr>
          <w:rFonts w:eastAsia="Times New Roman" w:cs="Times New Roman"/>
          <w:snapToGrid w:val="0"/>
          <w:szCs w:val="24"/>
          <w:lang w:val="fr-FR" w:eastAsia="en-US"/>
        </w:rPr>
        <w:t xml:space="preserve"> est au cœur des préoccupations de la communauté internationale. Il y a néanmoins un décalage entre ce que les spécialistes savent de l’océan et ce que le grand public comprend. Malgré les normes qui existent en matière d’enseignement et d’initiation scientifiques, le rôle fondamental de l’océan n’est pas suffisamment mis en </w:t>
      </w:r>
      <w:r w:rsidR="003322D4">
        <w:rPr>
          <w:rFonts w:eastAsia="Times New Roman" w:cs="Times New Roman"/>
          <w:snapToGrid w:val="0"/>
          <w:szCs w:val="24"/>
          <w:lang w:val="fr-FR" w:eastAsia="en-US"/>
        </w:rPr>
        <w:t>exergue</w:t>
      </w:r>
      <w:r w:rsidRPr="005E6CE7">
        <w:rPr>
          <w:rFonts w:eastAsia="Times New Roman" w:cs="Times New Roman"/>
          <w:snapToGrid w:val="0"/>
          <w:szCs w:val="24"/>
          <w:lang w:val="fr-FR" w:eastAsia="en-US"/>
        </w:rPr>
        <w:t xml:space="preserve"> dans l’enseignement formel. En outre, on note un intérêt accru pour l’espace marin en raison du</w:t>
      </w:r>
      <w:r w:rsidR="009C4F4C">
        <w:rPr>
          <w:rFonts w:eastAsia="Times New Roman" w:cs="Times New Roman"/>
          <w:snapToGrid w:val="0"/>
          <w:szCs w:val="24"/>
          <w:lang w:val="fr-FR" w:eastAsia="en-US"/>
        </w:rPr>
        <w:t> </w:t>
      </w:r>
      <w:r w:rsidRPr="005E6CE7">
        <w:rPr>
          <w:rFonts w:eastAsia="Times New Roman" w:cs="Times New Roman"/>
          <w:snapToGrid w:val="0"/>
          <w:szCs w:val="24"/>
          <w:lang w:val="fr-FR" w:eastAsia="en-US"/>
        </w:rPr>
        <w:t>développement de l’économie de l’océan, des engagements en vue de la réalisation du Programme</w:t>
      </w:r>
      <w:r w:rsidR="009C4F4C">
        <w:rPr>
          <w:rFonts w:eastAsia="Times New Roman" w:cs="Times New Roman"/>
          <w:snapToGrid w:val="0"/>
          <w:szCs w:val="24"/>
          <w:lang w:val="fr-FR" w:eastAsia="en-US"/>
        </w:rPr>
        <w:t> </w:t>
      </w:r>
      <w:r w:rsidRPr="005E6CE7">
        <w:rPr>
          <w:rFonts w:eastAsia="Times New Roman" w:cs="Times New Roman"/>
          <w:snapToGrid w:val="0"/>
          <w:szCs w:val="24"/>
          <w:lang w:val="fr-FR" w:eastAsia="en-US"/>
        </w:rPr>
        <w:t>2030, en particulier l’ODD 14 et ses cibles, de la négociation de nouveaux instruments juridiques et de la nécessité d’apporter des solutions scientifiquement éprouvées aux nouvelles menaces qui pèsent sur l’océan. C’est pourquoi un large éventail d’acteurs et de parties prenantes a besoin de mieux comprendre les caractéristiques et processus océaniques, ainsi que d’être sensibilisé à l’importance des sciences, observations et données océaniques pour la gestion des activités et de la recherche liées à l’océan.</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4.</w:t>
      </w:r>
      <w:r w:rsidRPr="005E6CE7">
        <w:rPr>
          <w:rFonts w:eastAsia="Times New Roman" w:cs="Times New Roman"/>
          <w:snapToGrid w:val="0"/>
          <w:szCs w:val="24"/>
          <w:lang w:val="fr-FR" w:eastAsia="en-US"/>
        </w:rPr>
        <w:tab/>
        <w:t>Face à ces évolutions, le renforcement des connaissances scientifiques relatives à l’océan et aux effets de l’activité humaine sur celui-ci,</w:t>
      </w:r>
      <w:r w:rsidR="009C4F4C">
        <w:rPr>
          <w:rFonts w:eastAsia="Times New Roman" w:cs="Times New Roman"/>
          <w:snapToGrid w:val="0"/>
          <w:szCs w:val="24"/>
          <w:lang w:val="fr-FR" w:eastAsia="en-US"/>
        </w:rPr>
        <w:t xml:space="preserve"> </w:t>
      </w:r>
      <w:r w:rsidRPr="005E6CE7">
        <w:rPr>
          <w:rFonts w:eastAsia="Times New Roman" w:cs="Times New Roman"/>
          <w:snapToGrid w:val="0"/>
          <w:szCs w:val="24"/>
          <w:lang w:val="fr-FR" w:eastAsia="en-US"/>
        </w:rPr>
        <w:t>l’application de ces connaissances dans l’intérêt de la société,</w:t>
      </w:r>
      <w:r w:rsidR="009C4F4C">
        <w:rPr>
          <w:rFonts w:eastAsia="Times New Roman" w:cs="Times New Roman"/>
          <w:snapToGrid w:val="0"/>
          <w:szCs w:val="24"/>
          <w:lang w:val="fr-FR" w:eastAsia="en-US"/>
        </w:rPr>
        <w:t xml:space="preserve"> </w:t>
      </w:r>
      <w:r w:rsidRPr="005E6CE7">
        <w:rPr>
          <w:rFonts w:eastAsia="Times New Roman" w:cs="Times New Roman"/>
          <w:snapToGrid w:val="0"/>
          <w:szCs w:val="24"/>
          <w:lang w:val="fr-FR" w:eastAsia="en-US"/>
        </w:rPr>
        <w:t>et le développement des capacités institutionnelles pour une bonne gestion et une gouvernance – qui font partie des principaux domaines d’action de la COI – apparaissent de plus en plus pertinents pour la société dans son ensemble. La COI est résolue à aider ses États membres à prendre des décisions et des mesures fondées sur les meilleures données scientifiques disponibles, ainsi qu’à promouvoir l’utilité de la science auprès de toutes les entités concernées par la gestion des ressources océaniques.</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5.</w:t>
      </w:r>
      <w:r w:rsidRPr="005E6CE7">
        <w:rPr>
          <w:rFonts w:eastAsia="Times New Roman" w:cs="Times New Roman"/>
          <w:snapToGrid w:val="0"/>
          <w:szCs w:val="24"/>
          <w:lang w:val="fr-FR" w:eastAsia="en-US"/>
        </w:rPr>
        <w:tab/>
        <w:t>L’initiation à l’océan est définie comme la compréhension de l’influence humaine sur l’océan et de l’influence de l’océan sur l’être humain. Il n’est pas simplement question d’accroître la sensibilisation sur l’état de l’océan, il s’agit également de fournir les outils et les approches qui</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 xml:space="preserve">permettront de </w:t>
      </w:r>
      <w:r w:rsidR="003322D4">
        <w:rPr>
          <w:rFonts w:eastAsia="Times New Roman" w:cs="Times New Roman"/>
          <w:snapToGrid w:val="0"/>
          <w:szCs w:val="24"/>
          <w:lang w:val="fr-FR" w:eastAsia="en-US"/>
        </w:rPr>
        <w:t>mettre en pratique les connaissances sur l’océan</w:t>
      </w:r>
      <w:r w:rsidRPr="005E6CE7">
        <w:rPr>
          <w:rFonts w:eastAsia="Times New Roman" w:cs="Times New Roman"/>
          <w:snapToGrid w:val="0"/>
          <w:szCs w:val="24"/>
          <w:lang w:val="fr-FR" w:eastAsia="en-US"/>
        </w:rPr>
        <w:t xml:space="preserve"> afin de promouvoir la viabilité</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de</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ce</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dernier. Le succès dépendra, d’une part, de notre capacité d’améliorer l’interface science</w:t>
      </w:r>
      <w:r w:rsidR="006C632B">
        <w:rPr>
          <w:rFonts w:eastAsia="Times New Roman" w:cs="Times New Roman"/>
          <w:snapToGrid w:val="0"/>
          <w:szCs w:val="24"/>
          <w:lang w:val="fr-FR" w:eastAsia="en-US"/>
        </w:rPr>
        <w:noBreakHyphen/>
      </w:r>
      <w:r w:rsidRPr="005E6CE7">
        <w:rPr>
          <w:rFonts w:eastAsia="Times New Roman" w:cs="Times New Roman"/>
          <w:snapToGrid w:val="0"/>
          <w:szCs w:val="24"/>
          <w:lang w:val="fr-FR" w:eastAsia="en-US"/>
        </w:rPr>
        <w:t>société</w:t>
      </w:r>
      <w:r w:rsidR="006C632B">
        <w:rPr>
          <w:rFonts w:eastAsia="Times New Roman" w:cs="Times New Roman"/>
          <w:snapToGrid w:val="0"/>
          <w:szCs w:val="24"/>
          <w:lang w:val="fr-FR" w:eastAsia="en-US"/>
        </w:rPr>
        <w:noBreakHyphen/>
      </w:r>
      <w:r w:rsidRPr="005E6CE7">
        <w:rPr>
          <w:rFonts w:eastAsia="Times New Roman" w:cs="Times New Roman"/>
          <w:snapToGrid w:val="0"/>
          <w:szCs w:val="24"/>
          <w:lang w:val="fr-FR" w:eastAsia="en-US"/>
        </w:rPr>
        <w:t>politiques et, d’autre part, de la volonté de donner aux différents acteurs concernés</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communautés et réseaux d’entreprises, universités, centres de recherche et organismes de la société civile</w:t>
      </w:r>
      <w:r w:rsidR="006C632B">
        <w:rPr>
          <w:rFonts w:eastAsia="Times New Roman" w:cs="Times New Roman"/>
          <w:snapToGrid w:val="0"/>
          <w:szCs w:val="24"/>
          <w:lang w:val="fr-FR" w:eastAsia="en-US"/>
        </w:rPr>
        <w:t> </w:t>
      </w:r>
      <w:r w:rsidRPr="005E6CE7">
        <w:rPr>
          <w:rFonts w:eastAsia="Times New Roman" w:cs="Times New Roman"/>
          <w:snapToGrid w:val="0"/>
          <w:szCs w:val="24"/>
          <w:lang w:val="fr-FR" w:eastAsia="en-US"/>
        </w:rPr>
        <w:t xml:space="preserve">– les moyens de partager la responsabilité de faire face aux menaces urgentes qui provoquent le déclin de la santé de l’océan. En outre, il est fondamental d’accroître la connaissance de l’océan au niveau national, et à tous les niveaux d’enseignement, pour permettre le développement des capacités nationales dans le secteur des sciences de la mer. Si les organisations et associations nationales et régionales jouent un rôle essentiel pour promouvoir </w:t>
      </w:r>
      <w:r w:rsidRPr="005E6CE7">
        <w:rPr>
          <w:rFonts w:eastAsia="Times New Roman" w:cs="Times New Roman"/>
          <w:snapToGrid w:val="0"/>
          <w:szCs w:val="24"/>
          <w:lang w:val="fr-FR" w:eastAsia="en-US"/>
        </w:rPr>
        <w:lastRenderedPageBreak/>
        <w:t xml:space="preserve">l’initiation à l’océan aux niveaux national et régional, la COI doit quant à elle assurer la collaboration internationale, définir des normes de qualité, diffuser les bonnes pratiques et renforcer la capacité des États membres </w:t>
      </w:r>
      <w:r w:rsidRPr="003322D4">
        <w:rPr>
          <w:rFonts w:eastAsia="Times New Roman" w:cs="Times New Roman"/>
          <w:snapToGrid w:val="0"/>
          <w:szCs w:val="24"/>
          <w:lang w:val="fr-FR" w:eastAsia="en-US"/>
        </w:rPr>
        <w:t>de répondre</w:t>
      </w:r>
      <w:r w:rsidRPr="005E6CE7">
        <w:rPr>
          <w:rFonts w:eastAsia="Times New Roman" w:cs="Times New Roman"/>
          <w:snapToGrid w:val="0"/>
          <w:szCs w:val="24"/>
          <w:lang w:val="fr-FR" w:eastAsia="en-US"/>
        </w:rPr>
        <w:t xml:space="preserve"> aux priorités en matière d’initiation à l’océan (voir les </w:t>
      </w:r>
      <w:r w:rsidRPr="003322D4">
        <w:rPr>
          <w:rFonts w:eastAsia="Times New Roman" w:cs="Times New Roman"/>
          <w:snapToGrid w:val="0"/>
          <w:szCs w:val="24"/>
          <w:lang w:val="fr-FR" w:eastAsia="en-US"/>
        </w:rPr>
        <w:t>produits</w:t>
      </w:r>
      <w:r w:rsidRPr="005E6CE7">
        <w:rPr>
          <w:rFonts w:eastAsia="Times New Roman" w:cs="Times New Roman"/>
          <w:snapToGrid w:val="0"/>
          <w:szCs w:val="24"/>
          <w:lang w:val="fr-FR" w:eastAsia="en-US"/>
        </w:rPr>
        <w:t xml:space="preserve"> énoncés ci-après dans le projet de plan d’action).</w:t>
      </w:r>
    </w:p>
    <w:p w:rsidR="005E6CE7" w:rsidRPr="005E6CE7" w:rsidRDefault="005E6CE7" w:rsidP="005E6CE7">
      <w:pPr>
        <w:tabs>
          <w:tab w:val="left" w:pos="567"/>
        </w:tabs>
        <w:snapToGrid w:val="0"/>
        <w:spacing w:after="240" w:line="240" w:lineRule="auto"/>
        <w:jc w:val="both"/>
        <w:rPr>
          <w:rFonts w:eastAsia="Times New Roman" w:cs="Times New Roman"/>
          <w:snapToGrid w:val="0"/>
          <w:szCs w:val="24"/>
          <w:lang w:val="fr-FR" w:eastAsia="en-US"/>
        </w:rPr>
      </w:pPr>
      <w:r w:rsidRPr="005E6CE7">
        <w:rPr>
          <w:rFonts w:eastAsia="Times New Roman" w:cs="Times New Roman"/>
          <w:snapToGrid w:val="0"/>
          <w:szCs w:val="24"/>
          <w:lang w:val="fr-FR" w:eastAsia="en-US"/>
        </w:rPr>
        <w:t>6.</w:t>
      </w:r>
      <w:r w:rsidRPr="005E6CE7">
        <w:rPr>
          <w:rFonts w:eastAsia="Times New Roman" w:cs="Times New Roman"/>
          <w:snapToGrid w:val="0"/>
          <w:szCs w:val="24"/>
          <w:lang w:val="fr-FR" w:eastAsia="en-US"/>
        </w:rPr>
        <w:tab/>
        <w:t xml:space="preserve">L’initiation à l’océan est un outil essentiel pour améliorer la connaissance de l’océan, ainsi que pour encourager les citoyens et les parties prenantes à prendre une part active à la mise en œuvre d’actions durables tant au niveau individuel que collectif. Alors qu’à l’origine l’initiation à l’océan avait été spécialement conçue pour être intégrée aux programmes de sciences des établissements </w:t>
      </w:r>
      <w:r w:rsidR="003322D4">
        <w:rPr>
          <w:rFonts w:eastAsia="Times New Roman" w:cs="Times New Roman"/>
          <w:snapToGrid w:val="0"/>
          <w:szCs w:val="24"/>
          <w:lang w:val="fr-FR" w:eastAsia="en-US"/>
        </w:rPr>
        <w:t>d’enseignement primaire et secondaire</w:t>
      </w:r>
      <w:r w:rsidRPr="005E6CE7">
        <w:rPr>
          <w:rFonts w:eastAsia="Times New Roman" w:cs="Times New Roman"/>
          <w:snapToGrid w:val="0"/>
          <w:szCs w:val="24"/>
          <w:lang w:val="fr-FR" w:eastAsia="en-US"/>
        </w:rPr>
        <w:t xml:space="preserve"> aux États-Unis, elle a par la suite été, en tant que concept et méthode, adoptée et adaptée à un contexte plus large. Elle est désormais perçue comme un moyen de faire progresser les pratiques de production durables, d’élaborer des politiques marines publiques rationnelles, de promouvoir une citoyenneté plus responsable, ainsi que d’inciter les jeunes à embrasser une carrière dans l’économie bleue ou dans les sciences océaniques. L’initiation à l’océan, en tant que concept et méthode, évolue de façon radicale et devient, </w:t>
      </w:r>
      <w:r w:rsidRPr="0021028A">
        <w:rPr>
          <w:rFonts w:eastAsia="Times New Roman" w:cs="Times New Roman"/>
          <w:snapToGrid w:val="0"/>
          <w:szCs w:val="24"/>
          <w:lang w:val="fr-FR" w:eastAsia="en-US"/>
        </w:rPr>
        <w:t xml:space="preserve">au-delà d’un simple outil utilisé dans un cadre formel d’éducation et de formation, un outil et une approche pour la société tout entière, dans le but de </w:t>
      </w:r>
      <w:r w:rsidR="0021028A" w:rsidRPr="0021028A">
        <w:rPr>
          <w:rFonts w:eastAsia="Times New Roman" w:cs="Times New Roman"/>
          <w:snapToGrid w:val="0"/>
          <w:szCs w:val="24"/>
          <w:lang w:val="fr-FR" w:eastAsia="en-US"/>
        </w:rPr>
        <w:t>promouvoir l’action</w:t>
      </w:r>
      <w:r w:rsidRPr="0021028A">
        <w:rPr>
          <w:rFonts w:eastAsia="Times New Roman" w:cs="Times New Roman"/>
          <w:snapToGrid w:val="0"/>
          <w:szCs w:val="24"/>
          <w:lang w:val="fr-FR" w:eastAsia="en-US"/>
        </w:rPr>
        <w:t xml:space="preserve"> en faveur de la viabilité de l’océan</w:t>
      </w:r>
      <w:r w:rsidRPr="005E6CE7">
        <w:rPr>
          <w:rFonts w:eastAsia="Times New Roman" w:cs="Times New Roman"/>
          <w:snapToGrid w:val="0"/>
          <w:szCs w:val="24"/>
          <w:lang w:val="fr-FR" w:eastAsia="en-US"/>
        </w:rPr>
        <w:t xml:space="preserve">. Le libre accès aux informations </w:t>
      </w:r>
      <w:r w:rsidR="0021028A">
        <w:rPr>
          <w:rFonts w:eastAsia="Times New Roman" w:cs="Times New Roman"/>
          <w:snapToGrid w:val="0"/>
          <w:szCs w:val="24"/>
          <w:lang w:val="fr-FR" w:eastAsia="en-US"/>
        </w:rPr>
        <w:t>sur l’océan</w:t>
      </w:r>
      <w:r w:rsidRPr="005E6CE7">
        <w:rPr>
          <w:rFonts w:eastAsia="Times New Roman" w:cs="Times New Roman"/>
          <w:snapToGrid w:val="0"/>
          <w:szCs w:val="24"/>
          <w:lang w:val="fr-FR" w:eastAsia="en-US"/>
        </w:rPr>
        <w:t xml:space="preserve">, les interactions accrues entre les acteurs universitaires et sociétaux, ainsi que la connaissance de l’océan pour tous devraient permettre à l’ensemble des citoyens et parties prenantes d’adopter </w:t>
      </w:r>
      <w:r w:rsidR="0021028A">
        <w:rPr>
          <w:rFonts w:eastAsia="Times New Roman" w:cs="Times New Roman"/>
          <w:snapToGrid w:val="0"/>
          <w:szCs w:val="24"/>
          <w:lang w:val="fr-FR" w:eastAsia="en-US"/>
        </w:rPr>
        <w:t>un comportement plus responsable et éclairé</w:t>
      </w:r>
      <w:r w:rsidRPr="005E6CE7">
        <w:rPr>
          <w:rFonts w:eastAsia="Times New Roman" w:cs="Times New Roman"/>
          <w:snapToGrid w:val="0"/>
          <w:szCs w:val="24"/>
          <w:lang w:val="fr-FR" w:eastAsia="en-US"/>
        </w:rPr>
        <w:t xml:space="preserve"> vis-à-vis de l’océan et de ses ressources.</w:t>
      </w:r>
    </w:p>
    <w:p w:rsidR="005E6CE7" w:rsidRDefault="005E6CE7" w:rsidP="005E6CE7">
      <w:pPr>
        <w:tabs>
          <w:tab w:val="left" w:pos="567"/>
        </w:tabs>
        <w:snapToGrid w:val="0"/>
        <w:spacing w:after="240" w:line="240" w:lineRule="auto"/>
        <w:jc w:val="both"/>
        <w:rPr>
          <w:rFonts w:eastAsia="SimSun" w:cs="Times New Roman"/>
          <w:snapToGrid w:val="0"/>
          <w:szCs w:val="24"/>
          <w:lang w:val="fr-FR"/>
        </w:rPr>
      </w:pPr>
      <w:r w:rsidRPr="005E6CE7">
        <w:rPr>
          <w:rFonts w:eastAsia="SimSun" w:cs="Times New Roman"/>
          <w:snapToGrid w:val="0"/>
          <w:szCs w:val="24"/>
          <w:lang w:val="fr-FR"/>
        </w:rPr>
        <w:t>7.</w:t>
      </w:r>
      <w:r w:rsidRPr="005E6CE7">
        <w:rPr>
          <w:rFonts w:eastAsia="SimSun" w:cs="Times New Roman"/>
          <w:snapToGrid w:val="0"/>
          <w:szCs w:val="24"/>
          <w:lang w:val="fr-FR"/>
        </w:rPr>
        <w:tab/>
        <w:t>C’est pour toutes les raisons évoquées ci-dessus que l’un des objectifs sociétaux de la Décennie des Nations Unies pour les sciences océaniques au service du développement durable (2021-2030) est celui d’« un océan transparent et accessible, grâce auquel l’ensemble des nations, des parties prenantes et des citoyens ont accès aux données/informations et technologies océaniques et ont la capacité de prendre des décisions éclairées ».</w:t>
      </w:r>
    </w:p>
    <w:p w:rsidR="005E6CE7" w:rsidRPr="005E6CE7" w:rsidRDefault="005E6CE7" w:rsidP="005E6CE7">
      <w:pPr>
        <w:keepNext/>
        <w:keepLines/>
        <w:tabs>
          <w:tab w:val="left" w:pos="567"/>
        </w:tabs>
        <w:snapToGrid w:val="0"/>
        <w:spacing w:after="240" w:line="240" w:lineRule="auto"/>
        <w:outlineLvl w:val="3"/>
        <w:rPr>
          <w:rFonts w:eastAsia="Times New Roman" w:cs="Times New Roman"/>
          <w:b/>
          <w:bCs/>
          <w:snapToGrid w:val="0"/>
          <w:szCs w:val="24"/>
          <w:lang w:val="fr-FR" w:eastAsia="en-US"/>
        </w:rPr>
      </w:pPr>
      <w:r w:rsidRPr="005E6CE7">
        <w:rPr>
          <w:rFonts w:eastAsia="Times New Roman" w:cs="Times New Roman"/>
          <w:b/>
          <w:bCs/>
          <w:snapToGrid w:val="0"/>
          <w:szCs w:val="24"/>
          <w:lang w:val="fr-FR" w:eastAsia="en-US"/>
        </w:rPr>
        <w:t>Activités de la COI en matière d’initiation à l’océan (2017-2019)</w:t>
      </w:r>
    </w:p>
    <w:p w:rsidR="00C94A41" w:rsidRDefault="005E6CE7" w:rsidP="005E6CE7">
      <w:pPr>
        <w:tabs>
          <w:tab w:val="left" w:pos="567"/>
        </w:tabs>
        <w:snapToGrid w:val="0"/>
        <w:spacing w:after="240" w:line="240" w:lineRule="auto"/>
        <w:jc w:val="both"/>
        <w:rPr>
          <w:rFonts w:eastAsia="SimSun" w:cs="Times New Roman"/>
          <w:snapToGrid w:val="0"/>
          <w:szCs w:val="24"/>
          <w:lang w:val="fr-FR"/>
        </w:rPr>
      </w:pPr>
      <w:r>
        <w:rPr>
          <w:rFonts w:eastAsia="SimSun" w:cs="Times New Roman"/>
          <w:snapToGrid w:val="0"/>
          <w:szCs w:val="24"/>
          <w:lang w:val="fr-FR"/>
        </w:rPr>
        <w:t>8.</w:t>
      </w:r>
      <w:r>
        <w:rPr>
          <w:rFonts w:eastAsia="SimSun" w:cs="Times New Roman"/>
          <w:snapToGrid w:val="0"/>
          <w:szCs w:val="24"/>
          <w:lang w:val="fr-FR"/>
        </w:rPr>
        <w:tab/>
      </w:r>
      <w:r w:rsidRPr="005E6CE7">
        <w:rPr>
          <w:rFonts w:eastAsia="SimSun" w:cs="Times New Roman"/>
          <w:snapToGrid w:val="0"/>
          <w:szCs w:val="24"/>
          <w:lang w:val="fr-FR"/>
        </w:rPr>
        <w:t>La Conférence de haut niveau des Nations Unies visant à appuyer la réalisation de l’</w:t>
      </w:r>
      <w:r>
        <w:rPr>
          <w:rFonts w:eastAsia="SimSun" w:cs="Times New Roman"/>
          <w:snapToGrid w:val="0"/>
          <w:szCs w:val="24"/>
          <w:lang w:val="fr-FR"/>
        </w:rPr>
        <w:t>O</w:t>
      </w:r>
      <w:r w:rsidRPr="005E6CE7">
        <w:rPr>
          <w:rFonts w:eastAsia="SimSun" w:cs="Times New Roman"/>
          <w:snapToGrid w:val="0"/>
          <w:szCs w:val="24"/>
          <w:lang w:val="fr-FR"/>
        </w:rPr>
        <w:t>b</w:t>
      </w:r>
      <w:r>
        <w:rPr>
          <w:rFonts w:eastAsia="SimSun" w:cs="Times New Roman"/>
          <w:snapToGrid w:val="0"/>
          <w:szCs w:val="24"/>
          <w:lang w:val="fr-FR"/>
        </w:rPr>
        <w:t>jectif de développement durable </w:t>
      </w:r>
      <w:r w:rsidRPr="005E6CE7">
        <w:rPr>
          <w:rFonts w:eastAsia="SimSun" w:cs="Times New Roman"/>
          <w:snapToGrid w:val="0"/>
          <w:szCs w:val="24"/>
          <w:lang w:val="fr-FR"/>
        </w:rPr>
        <w:t>14 </w:t>
      </w:r>
      <w:r>
        <w:rPr>
          <w:rFonts w:eastAsia="SimSun" w:cs="Times New Roman"/>
          <w:snapToGrid w:val="0"/>
          <w:szCs w:val="24"/>
          <w:lang w:val="fr-FR"/>
        </w:rPr>
        <w:t>–</w:t>
      </w:r>
      <w:r w:rsidR="006C632B">
        <w:rPr>
          <w:rFonts w:eastAsia="SimSun" w:cs="Times New Roman"/>
          <w:snapToGrid w:val="0"/>
          <w:szCs w:val="24"/>
          <w:lang w:val="fr-FR"/>
        </w:rPr>
        <w:t> </w:t>
      </w:r>
      <w:r>
        <w:rPr>
          <w:rFonts w:eastAsia="SimSun" w:cs="Times New Roman"/>
          <w:snapToGrid w:val="0"/>
          <w:szCs w:val="24"/>
          <w:lang w:val="fr-FR"/>
        </w:rPr>
        <w:t xml:space="preserve">Conserver </w:t>
      </w:r>
      <w:r w:rsidRPr="005E6CE7">
        <w:rPr>
          <w:rFonts w:eastAsia="SimSun" w:cs="Times New Roman"/>
          <w:snapToGrid w:val="0"/>
          <w:szCs w:val="24"/>
          <w:lang w:val="fr-FR"/>
        </w:rPr>
        <w:t>et exploiter de manière durable les océans, les mers et les ressources marines aux fins du développement durable</w:t>
      </w:r>
      <w:r w:rsidR="006C632B">
        <w:rPr>
          <w:rFonts w:eastAsia="SimSun" w:cs="Times New Roman"/>
          <w:snapToGrid w:val="0"/>
          <w:szCs w:val="24"/>
          <w:lang w:val="fr-FR"/>
        </w:rPr>
        <w:t> </w:t>
      </w:r>
      <w:r>
        <w:rPr>
          <w:rFonts w:eastAsia="SimSun" w:cs="Times New Roman"/>
          <w:snapToGrid w:val="0"/>
          <w:szCs w:val="24"/>
          <w:lang w:val="fr-FR"/>
        </w:rPr>
        <w:t>–</w:t>
      </w:r>
      <w:r w:rsidRPr="005E6CE7">
        <w:rPr>
          <w:rFonts w:eastAsia="SimSun" w:cs="Times New Roman"/>
          <w:snapToGrid w:val="0"/>
          <w:szCs w:val="24"/>
          <w:lang w:val="fr-FR"/>
        </w:rPr>
        <w:t>, organisée au Siè</w:t>
      </w:r>
      <w:r>
        <w:rPr>
          <w:rFonts w:eastAsia="SimSun" w:cs="Times New Roman"/>
          <w:snapToGrid w:val="0"/>
          <w:szCs w:val="24"/>
          <w:lang w:val="fr-FR"/>
        </w:rPr>
        <w:t>ge de l’ONU, à New </w:t>
      </w:r>
      <w:r w:rsidRPr="005E6CE7">
        <w:rPr>
          <w:rFonts w:eastAsia="SimSun" w:cs="Times New Roman"/>
          <w:snapToGrid w:val="0"/>
          <w:szCs w:val="24"/>
          <w:lang w:val="fr-FR"/>
        </w:rPr>
        <w:t>York, du 5 au 9</w:t>
      </w:r>
      <w:r w:rsidR="006C632B">
        <w:rPr>
          <w:rFonts w:eastAsia="SimSun" w:cs="Times New Roman"/>
          <w:snapToGrid w:val="0"/>
          <w:szCs w:val="24"/>
          <w:lang w:val="fr-FR"/>
        </w:rPr>
        <w:t> </w:t>
      </w:r>
      <w:r w:rsidRPr="005E6CE7">
        <w:rPr>
          <w:rFonts w:eastAsia="SimSun" w:cs="Times New Roman"/>
          <w:snapToGrid w:val="0"/>
          <w:szCs w:val="24"/>
          <w:lang w:val="fr-FR"/>
        </w:rPr>
        <w:t xml:space="preserve">juin 2017, a </w:t>
      </w:r>
      <w:r>
        <w:rPr>
          <w:rFonts w:eastAsia="SimSun" w:cs="Times New Roman"/>
          <w:snapToGrid w:val="0"/>
          <w:szCs w:val="24"/>
          <w:lang w:val="fr-FR"/>
        </w:rPr>
        <w:t>été l’occasion de</w:t>
      </w:r>
      <w:r w:rsidRPr="005E6CE7">
        <w:rPr>
          <w:rFonts w:eastAsia="SimSun" w:cs="Times New Roman"/>
          <w:snapToGrid w:val="0"/>
          <w:szCs w:val="24"/>
          <w:lang w:val="fr-FR"/>
        </w:rPr>
        <w:t xml:space="preserve"> mieux faire connaître le concept d’initiation à l’océan</w:t>
      </w:r>
      <w:r w:rsidR="00C94A41">
        <w:rPr>
          <w:rFonts w:eastAsia="SimSun" w:cs="Times New Roman"/>
          <w:snapToGrid w:val="0"/>
          <w:szCs w:val="24"/>
          <w:lang w:val="fr-FR"/>
        </w:rPr>
        <w:t>,</w:t>
      </w:r>
      <w:r>
        <w:rPr>
          <w:rFonts w:eastAsia="SimSun" w:cs="Times New Roman"/>
          <w:snapToGrid w:val="0"/>
          <w:szCs w:val="24"/>
          <w:lang w:val="fr-FR"/>
        </w:rPr>
        <w:t xml:space="preserve"> </w:t>
      </w:r>
      <w:r w:rsidR="00C94A41">
        <w:rPr>
          <w:rFonts w:eastAsia="SimSun" w:cs="Times New Roman"/>
          <w:snapToGrid w:val="0"/>
          <w:szCs w:val="24"/>
          <w:lang w:val="fr-FR"/>
        </w:rPr>
        <w:t>ainsi que</w:t>
      </w:r>
      <w:r>
        <w:rPr>
          <w:rFonts w:eastAsia="SimSun" w:cs="Times New Roman"/>
          <w:snapToGrid w:val="0"/>
          <w:szCs w:val="24"/>
          <w:lang w:val="fr-FR"/>
        </w:rPr>
        <w:t xml:space="preserve"> le cadre correspondant</w:t>
      </w:r>
      <w:r w:rsidR="00C94A41">
        <w:rPr>
          <w:rFonts w:eastAsia="SimSun" w:cs="Times New Roman"/>
          <w:snapToGrid w:val="0"/>
          <w:szCs w:val="24"/>
          <w:lang w:val="fr-FR"/>
        </w:rPr>
        <w:t>,</w:t>
      </w:r>
      <w:r w:rsidRPr="005E6CE7">
        <w:rPr>
          <w:rFonts w:eastAsia="SimSun" w:cs="Times New Roman"/>
          <w:snapToGrid w:val="0"/>
          <w:szCs w:val="24"/>
          <w:lang w:val="fr-FR"/>
        </w:rPr>
        <w:t xml:space="preserve"> au niveau international.</w:t>
      </w:r>
      <w:r w:rsidR="00C94A41">
        <w:rPr>
          <w:rFonts w:eastAsia="SimSun" w:cs="Times New Roman"/>
          <w:snapToGrid w:val="0"/>
          <w:szCs w:val="24"/>
          <w:lang w:val="fr-FR"/>
        </w:rPr>
        <w:t xml:space="preserve"> </w:t>
      </w:r>
      <w:r w:rsidR="00C94A41" w:rsidRPr="00C94A41">
        <w:rPr>
          <w:rFonts w:eastAsia="SimSun" w:cs="Times New Roman"/>
          <w:snapToGrid w:val="0"/>
          <w:szCs w:val="24"/>
          <w:lang w:val="fr-FR"/>
        </w:rPr>
        <w:t xml:space="preserve">Un engagement volontaire, </w:t>
      </w:r>
      <w:hyperlink r:id="rId13" w:history="1">
        <w:r w:rsidR="00C94A41" w:rsidRPr="00C94A41">
          <w:rPr>
            <w:rStyle w:val="Hyperlink"/>
            <w:rFonts w:eastAsia="SimSun" w:cs="Times New Roman"/>
            <w:snapToGrid w:val="0"/>
            <w:szCs w:val="24"/>
            <w:lang w:val="fr-FR"/>
          </w:rPr>
          <w:t>#OceanAction15187</w:t>
        </w:r>
      </w:hyperlink>
      <w:r w:rsidR="00C94A41" w:rsidRPr="00C94A41">
        <w:rPr>
          <w:rFonts w:eastAsia="SimSun" w:cs="Times New Roman"/>
          <w:snapToGrid w:val="0"/>
          <w:szCs w:val="24"/>
          <w:lang w:val="fr-FR"/>
        </w:rPr>
        <w:t xml:space="preserve">, </w:t>
      </w:r>
      <w:r w:rsidR="00C94A41">
        <w:rPr>
          <w:rFonts w:eastAsia="SimSun" w:cs="Times New Roman"/>
          <w:snapToGrid w:val="0"/>
          <w:szCs w:val="24"/>
          <w:lang w:val="fr-FR"/>
        </w:rPr>
        <w:t>« </w:t>
      </w:r>
      <w:r w:rsidR="00C94A41" w:rsidRPr="00C94A41">
        <w:rPr>
          <w:rFonts w:eastAsia="SimSun" w:cs="Times New Roman"/>
          <w:snapToGrid w:val="0"/>
          <w:szCs w:val="24"/>
          <w:lang w:val="fr-FR"/>
        </w:rPr>
        <w:t xml:space="preserve">Accès aux connaissances de l’océan pour tous : une stratégie mondiale pour sensibiliser à la conservation, à la restauration et à </w:t>
      </w:r>
      <w:r w:rsidR="00C94A41" w:rsidRPr="006A66BB">
        <w:rPr>
          <w:rFonts w:eastAsia="SimSun" w:cs="Times New Roman"/>
          <w:snapToGrid w:val="0"/>
          <w:szCs w:val="24"/>
          <w:lang w:val="fr-FR"/>
        </w:rPr>
        <w:t>l’exploitation</w:t>
      </w:r>
      <w:r w:rsidR="00C94A41" w:rsidRPr="00C94A41">
        <w:rPr>
          <w:rFonts w:eastAsia="SimSun" w:cs="Times New Roman"/>
          <w:snapToGrid w:val="0"/>
          <w:szCs w:val="24"/>
          <w:lang w:val="fr-FR"/>
        </w:rPr>
        <w:t xml:space="preserve"> durable de notre océan</w:t>
      </w:r>
      <w:r w:rsidR="00C94A41">
        <w:rPr>
          <w:rFonts w:eastAsia="SimSun" w:cs="Times New Roman"/>
          <w:snapToGrid w:val="0"/>
          <w:szCs w:val="24"/>
          <w:lang w:val="fr-FR"/>
        </w:rPr>
        <w:t> »</w:t>
      </w:r>
      <w:r w:rsidR="00C94A41" w:rsidRPr="00C94A41">
        <w:rPr>
          <w:rFonts w:eastAsia="SimSun" w:cs="Times New Roman"/>
          <w:snapToGrid w:val="0"/>
          <w:szCs w:val="24"/>
          <w:lang w:val="fr-FR"/>
        </w:rPr>
        <w:t xml:space="preserve">, a été soumis par l’UNESCO en partenariat avec la plupart des institutions </w:t>
      </w:r>
      <w:r w:rsidR="00C94A41">
        <w:rPr>
          <w:rFonts w:eastAsia="SimSun" w:cs="Times New Roman"/>
          <w:snapToGrid w:val="0"/>
          <w:szCs w:val="24"/>
          <w:lang w:val="fr-FR"/>
        </w:rPr>
        <w:t>susmentionnées</w:t>
      </w:r>
      <w:r w:rsidR="00C94A41" w:rsidRPr="00C94A41">
        <w:rPr>
          <w:rFonts w:eastAsia="SimSun" w:cs="Times New Roman"/>
          <w:snapToGrid w:val="0"/>
          <w:szCs w:val="24"/>
          <w:lang w:val="fr-FR"/>
        </w:rPr>
        <w:t xml:space="preserve"> et d’autres partenaires concernés.</w:t>
      </w:r>
      <w:r w:rsidR="00C94A41">
        <w:rPr>
          <w:rFonts w:eastAsia="SimSun" w:cs="Times New Roman"/>
          <w:snapToGrid w:val="0"/>
          <w:szCs w:val="24"/>
          <w:lang w:val="fr-FR"/>
        </w:rPr>
        <w:t xml:space="preserve"> </w:t>
      </w:r>
      <w:r w:rsidR="00C94A41" w:rsidRPr="00C94A41">
        <w:rPr>
          <w:rFonts w:eastAsia="SimSun" w:cs="Times New Roman"/>
          <w:snapToGrid w:val="0"/>
          <w:szCs w:val="24"/>
          <w:lang w:val="fr-FR"/>
        </w:rPr>
        <w:t>Le</w:t>
      </w:r>
      <w:r w:rsidR="0021028A">
        <w:rPr>
          <w:rFonts w:eastAsia="SimSun" w:cs="Times New Roman"/>
          <w:snapToGrid w:val="0"/>
          <w:szCs w:val="24"/>
          <w:lang w:val="fr-FR"/>
        </w:rPr>
        <w:t xml:space="preserve">s initiatives présentées dans cet </w:t>
      </w:r>
      <w:r w:rsidR="00C94A41" w:rsidRPr="00C94A41">
        <w:rPr>
          <w:rFonts w:eastAsia="SimSun" w:cs="Times New Roman"/>
          <w:snapToGrid w:val="0"/>
          <w:szCs w:val="24"/>
          <w:lang w:val="fr-FR"/>
        </w:rPr>
        <w:t xml:space="preserve">engagement volontaire ont pour principal objectif de mettre en place un partenariat mondial </w:t>
      </w:r>
      <w:r w:rsidR="00C94A41">
        <w:rPr>
          <w:rFonts w:eastAsia="SimSun" w:cs="Times New Roman"/>
          <w:snapToGrid w:val="0"/>
          <w:szCs w:val="24"/>
          <w:lang w:val="fr-FR"/>
        </w:rPr>
        <w:t>destiné à</w:t>
      </w:r>
      <w:r w:rsidR="00C94A41" w:rsidRPr="00C94A41">
        <w:rPr>
          <w:rFonts w:eastAsia="SimSun" w:cs="Times New Roman"/>
          <w:snapToGrid w:val="0"/>
          <w:szCs w:val="24"/>
          <w:lang w:val="fr-FR"/>
        </w:rPr>
        <w:t xml:space="preserve"> améliorer les connaissances des citoyens du monde entier relatives à notre océan.</w:t>
      </w:r>
      <w:r w:rsidR="00C94A41">
        <w:rPr>
          <w:rFonts w:eastAsia="SimSun" w:cs="Times New Roman"/>
          <w:snapToGrid w:val="0"/>
          <w:szCs w:val="24"/>
          <w:lang w:val="fr-FR"/>
        </w:rPr>
        <w:t xml:space="preserve"> À cet égard, la COI a coordonné plusieurs activités :</w:t>
      </w:r>
    </w:p>
    <w:p w:rsidR="00470BFA" w:rsidRDefault="00C94A41" w:rsidP="004A0312">
      <w:pPr>
        <w:pStyle w:val="a"/>
        <w:spacing w:line="240" w:lineRule="auto"/>
        <w:ind w:left="1134"/>
        <w:rPr>
          <w:snapToGrid w:val="0"/>
          <w:lang w:val="fr-FR"/>
        </w:rPr>
      </w:pPr>
      <w:r>
        <w:rPr>
          <w:snapToGrid w:val="0"/>
          <w:lang w:val="fr-FR"/>
        </w:rPr>
        <w:t>(i)</w:t>
      </w:r>
      <w:r>
        <w:rPr>
          <w:snapToGrid w:val="0"/>
          <w:lang w:val="fr-FR"/>
        </w:rPr>
        <w:tab/>
      </w:r>
      <w:r w:rsidRPr="00C94A41">
        <w:rPr>
          <w:b/>
          <w:snapToGrid w:val="0"/>
          <w:lang w:val="fr-FR"/>
        </w:rPr>
        <w:t xml:space="preserve">Première </w:t>
      </w:r>
      <w:r w:rsidRPr="0021028A">
        <w:rPr>
          <w:b/>
          <w:snapToGrid w:val="0"/>
          <w:lang w:val="fr-FR"/>
        </w:rPr>
        <w:t>Conférence internationale d’information sur les océans</w:t>
      </w:r>
      <w:r>
        <w:rPr>
          <w:snapToGrid w:val="0"/>
          <w:lang w:val="fr-FR"/>
        </w:rPr>
        <w:t>.</w:t>
      </w:r>
      <w:r w:rsidRPr="00C94A41">
        <w:rPr>
          <w:snapToGrid w:val="0"/>
          <w:lang w:val="fr-FR"/>
        </w:rPr>
        <w:t xml:space="preserve"> Dans le cadre de la mise en œuvre de l’engagement volontaire « Accès aux connaissances de l’océan pour tous », la COI de l’UNESCO a organisé la première Conférence internationale </w:t>
      </w:r>
      <w:r w:rsidRPr="0021028A">
        <w:rPr>
          <w:snapToGrid w:val="0"/>
          <w:lang w:val="fr-FR"/>
        </w:rPr>
        <w:t>d’information</w:t>
      </w:r>
      <w:r w:rsidRPr="00C94A41">
        <w:rPr>
          <w:snapToGrid w:val="0"/>
          <w:lang w:val="fr-FR"/>
        </w:rPr>
        <w:t xml:space="preserve"> sur les océans à Venise</w:t>
      </w:r>
      <w:r w:rsidR="006A66BB">
        <w:rPr>
          <w:snapToGrid w:val="0"/>
          <w:lang w:val="fr-FR"/>
        </w:rPr>
        <w:t xml:space="preserve"> (4-5 décembre 2017)</w:t>
      </w:r>
      <w:r w:rsidRPr="00C94A41">
        <w:rPr>
          <w:snapToGrid w:val="0"/>
          <w:lang w:val="fr-FR"/>
        </w:rPr>
        <w:t>, au Bureau régional de l’UNESCO pour la science et la culture en Europe, avec le soutien financier du Gouvernement suédois.</w:t>
      </w:r>
      <w:r w:rsidR="006A66BB">
        <w:rPr>
          <w:snapToGrid w:val="0"/>
          <w:lang w:val="fr-FR"/>
        </w:rPr>
        <w:t xml:space="preserve"> </w:t>
      </w:r>
      <w:r w:rsidR="006A66BB" w:rsidRPr="006A66BB">
        <w:rPr>
          <w:snapToGrid w:val="0"/>
          <w:lang w:val="fr-FR"/>
        </w:rPr>
        <w:t>Cette manifestation peut être considérée comme la première étape d’un processus collaboratif visant à fédérer les initiatives menées à travers le monde en faveur de la création d’un cadre mondial pour l’initiation à l’océan, et à inviter toutes les parties prenantes concernées à faire alliance autour d’une approche cohérente de l’initiation à l’océan.</w:t>
      </w:r>
      <w:r w:rsidR="006A66BB">
        <w:rPr>
          <w:snapToGrid w:val="0"/>
          <w:lang w:val="fr-FR"/>
        </w:rPr>
        <w:t xml:space="preserve"> </w:t>
      </w:r>
      <w:r w:rsidR="006A66BB" w:rsidRPr="006A66BB">
        <w:rPr>
          <w:snapToGrid w:val="0"/>
          <w:lang w:val="fr-FR"/>
        </w:rPr>
        <w:t xml:space="preserve">La conférence </w:t>
      </w:r>
      <w:r w:rsidR="008E327B">
        <w:rPr>
          <w:snapToGrid w:val="0"/>
          <w:lang w:val="fr-FR"/>
        </w:rPr>
        <w:t>a été l’occasion de se pencher</w:t>
      </w:r>
      <w:r w:rsidR="006A66BB" w:rsidRPr="006A66BB">
        <w:rPr>
          <w:snapToGrid w:val="0"/>
          <w:lang w:val="fr-FR"/>
        </w:rPr>
        <w:t xml:space="preserve"> sur les thématiques couvertes par l’engagement volontaire « Accès aux connaissances de l’océan pour tous »</w:t>
      </w:r>
      <w:r w:rsidR="008E327B">
        <w:rPr>
          <w:snapToGrid w:val="0"/>
          <w:lang w:val="fr-FR"/>
        </w:rPr>
        <w:t>, ainsi que de passer</w:t>
      </w:r>
      <w:r w:rsidR="006A66BB" w:rsidRPr="006A66BB">
        <w:rPr>
          <w:snapToGrid w:val="0"/>
          <w:lang w:val="fr-FR"/>
        </w:rPr>
        <w:t xml:space="preserve"> en revue</w:t>
      </w:r>
      <w:r w:rsidR="008E327B" w:rsidRPr="006A66BB">
        <w:rPr>
          <w:snapToGrid w:val="0"/>
          <w:lang w:val="fr-FR"/>
        </w:rPr>
        <w:t xml:space="preserve">, </w:t>
      </w:r>
      <w:r w:rsidR="008E327B">
        <w:rPr>
          <w:snapToGrid w:val="0"/>
          <w:lang w:val="fr-FR"/>
        </w:rPr>
        <w:t>dans un contexte participatif</w:t>
      </w:r>
      <w:r w:rsidR="008E327B" w:rsidRPr="006A66BB">
        <w:rPr>
          <w:snapToGrid w:val="0"/>
          <w:lang w:val="fr-FR"/>
        </w:rPr>
        <w:t xml:space="preserve">, </w:t>
      </w:r>
      <w:r w:rsidR="006A66BB" w:rsidRPr="006A66BB">
        <w:rPr>
          <w:snapToGrid w:val="0"/>
          <w:lang w:val="fr-FR"/>
        </w:rPr>
        <w:t xml:space="preserve">les activités </w:t>
      </w:r>
      <w:r w:rsidR="006A66BB">
        <w:rPr>
          <w:snapToGrid w:val="0"/>
          <w:lang w:val="fr-FR"/>
        </w:rPr>
        <w:t>appelées à être</w:t>
      </w:r>
      <w:r w:rsidR="006A66BB" w:rsidRPr="006A66BB">
        <w:rPr>
          <w:snapToGrid w:val="0"/>
          <w:lang w:val="fr-FR"/>
        </w:rPr>
        <w:t xml:space="preserve"> mises en œuvre au cours des trois années à venir en vue de la </w:t>
      </w:r>
      <w:r w:rsidR="006A66BB" w:rsidRPr="006A66BB">
        <w:rPr>
          <w:snapToGrid w:val="0"/>
          <w:lang w:val="fr-FR"/>
        </w:rPr>
        <w:lastRenderedPageBreak/>
        <w:t>prochaine Conférence des Nations Unies sur les océans (2020).</w:t>
      </w:r>
      <w:r>
        <w:rPr>
          <w:snapToGrid w:val="0"/>
          <w:lang w:val="fr-FR"/>
        </w:rPr>
        <w:t xml:space="preserve"> </w:t>
      </w:r>
      <w:r w:rsidR="008E327B">
        <w:rPr>
          <w:snapToGrid w:val="0"/>
          <w:lang w:val="fr-FR"/>
        </w:rPr>
        <w:t>Les discussions ont également été axées</w:t>
      </w:r>
      <w:r w:rsidR="006A66BB" w:rsidRPr="006A66BB">
        <w:rPr>
          <w:snapToGrid w:val="0"/>
          <w:lang w:val="fr-FR"/>
        </w:rPr>
        <w:t xml:space="preserve"> sur la façon dont l’initiative pou</w:t>
      </w:r>
      <w:r w:rsidR="006A66BB">
        <w:rPr>
          <w:snapToGrid w:val="0"/>
          <w:lang w:val="fr-FR"/>
        </w:rPr>
        <w:t>v</w:t>
      </w:r>
      <w:r w:rsidR="006A66BB" w:rsidRPr="006A66BB">
        <w:rPr>
          <w:snapToGrid w:val="0"/>
          <w:lang w:val="fr-FR"/>
        </w:rPr>
        <w:t xml:space="preserve">ait soutenir au mieux </w:t>
      </w:r>
      <w:r w:rsidR="006A66BB">
        <w:rPr>
          <w:snapToGrid w:val="0"/>
          <w:lang w:val="fr-FR"/>
        </w:rPr>
        <w:t>l’ODD </w:t>
      </w:r>
      <w:r w:rsidR="006A66BB" w:rsidRPr="006A66BB">
        <w:rPr>
          <w:snapToGrid w:val="0"/>
          <w:lang w:val="fr-FR"/>
        </w:rPr>
        <w:t>14, ainsi que sur les moyens de la mener en adéquation avec la Décennie des Nations Unies pour les sciences océaniques au service du développement durable (2021-2030)</w:t>
      </w:r>
      <w:r w:rsidR="00775EE8">
        <w:rPr>
          <w:snapToGrid w:val="0"/>
          <w:lang w:val="fr-FR"/>
        </w:rPr>
        <w:t xml:space="preserve">. </w:t>
      </w:r>
      <w:r w:rsidR="00775EE8" w:rsidRPr="00775EE8">
        <w:rPr>
          <w:snapToGrid w:val="0"/>
          <w:lang w:val="fr-FR"/>
        </w:rPr>
        <w:t xml:space="preserve">La conférence a eu une portée internationale et a rassemblé pour la première fois plus d’une centaine de participants venus de 30 pays </w:t>
      </w:r>
      <w:r w:rsidR="00775EE8">
        <w:rPr>
          <w:snapToGrid w:val="0"/>
          <w:lang w:val="fr-FR"/>
        </w:rPr>
        <w:t>d’</w:t>
      </w:r>
      <w:r w:rsidR="00775EE8" w:rsidRPr="00775EE8">
        <w:rPr>
          <w:snapToGrid w:val="0"/>
          <w:lang w:val="fr-FR"/>
        </w:rPr>
        <w:t xml:space="preserve">Europe, </w:t>
      </w:r>
      <w:r w:rsidR="00775EE8">
        <w:rPr>
          <w:snapToGrid w:val="0"/>
          <w:lang w:val="fr-FR"/>
        </w:rPr>
        <w:t>d’</w:t>
      </w:r>
      <w:r w:rsidR="00775EE8" w:rsidRPr="00775EE8">
        <w:rPr>
          <w:snapToGrid w:val="0"/>
          <w:lang w:val="fr-FR"/>
        </w:rPr>
        <w:t xml:space="preserve">Afrique, </w:t>
      </w:r>
      <w:r w:rsidR="00775EE8">
        <w:rPr>
          <w:snapToGrid w:val="0"/>
          <w:lang w:val="fr-FR"/>
        </w:rPr>
        <w:t>d’</w:t>
      </w:r>
      <w:r w:rsidR="00775EE8" w:rsidRPr="00775EE8">
        <w:rPr>
          <w:snapToGrid w:val="0"/>
          <w:lang w:val="fr-FR"/>
        </w:rPr>
        <w:t xml:space="preserve">Amérique du Nord, </w:t>
      </w:r>
      <w:r w:rsidR="00775EE8">
        <w:rPr>
          <w:snapToGrid w:val="0"/>
          <w:lang w:val="fr-FR"/>
        </w:rPr>
        <w:t>d’</w:t>
      </w:r>
      <w:r w:rsidR="00775EE8" w:rsidRPr="00775EE8">
        <w:rPr>
          <w:snapToGrid w:val="0"/>
          <w:lang w:val="fr-FR"/>
        </w:rPr>
        <w:t xml:space="preserve">Amérique latine et </w:t>
      </w:r>
      <w:r w:rsidR="00775EE8">
        <w:rPr>
          <w:snapToGrid w:val="0"/>
          <w:lang w:val="fr-FR"/>
        </w:rPr>
        <w:t>d’</w:t>
      </w:r>
      <w:r w:rsidR="00FD2180">
        <w:rPr>
          <w:snapToGrid w:val="0"/>
          <w:lang w:val="fr-FR"/>
        </w:rPr>
        <w:t>Asie</w:t>
      </w:r>
      <w:r w:rsidR="00775EE8" w:rsidRPr="00775EE8">
        <w:rPr>
          <w:snapToGrid w:val="0"/>
          <w:lang w:val="fr-FR"/>
        </w:rPr>
        <w:t>.</w:t>
      </w:r>
      <w:r w:rsidR="00775EE8">
        <w:rPr>
          <w:snapToGrid w:val="0"/>
          <w:lang w:val="fr-FR"/>
        </w:rPr>
        <w:t xml:space="preserve"> </w:t>
      </w:r>
      <w:r w:rsidR="00775EE8" w:rsidRPr="00775EE8">
        <w:rPr>
          <w:snapToGrid w:val="0"/>
          <w:lang w:val="fr-FR"/>
        </w:rPr>
        <w:t>Un large éventail d’intervenants</w:t>
      </w:r>
      <w:r w:rsidR="00775EE8">
        <w:rPr>
          <w:snapToGrid w:val="0"/>
          <w:lang w:val="fr-FR"/>
        </w:rPr>
        <w:t> </w:t>
      </w:r>
      <w:r w:rsidR="00775EE8" w:rsidRPr="00775EE8">
        <w:rPr>
          <w:snapToGrid w:val="0"/>
          <w:lang w:val="fr-FR"/>
        </w:rPr>
        <w:t>–</w:t>
      </w:r>
      <w:r w:rsidR="00775EE8">
        <w:rPr>
          <w:snapToGrid w:val="0"/>
          <w:lang w:val="fr-FR"/>
        </w:rPr>
        <w:t> </w:t>
      </w:r>
      <w:r w:rsidR="00775EE8" w:rsidRPr="00775EE8">
        <w:rPr>
          <w:snapToGrid w:val="0"/>
          <w:lang w:val="fr-FR"/>
        </w:rPr>
        <w:t>éducateurs, chercheurs, militants, journalistes, conservateurs d’art contemporain et fondations</w:t>
      </w:r>
      <w:r w:rsidR="00FD2180">
        <w:rPr>
          <w:snapToGrid w:val="0"/>
          <w:lang w:val="fr-FR"/>
        </w:rPr>
        <w:t> </w:t>
      </w:r>
      <w:r w:rsidR="00775EE8" w:rsidRPr="00775EE8">
        <w:rPr>
          <w:snapToGrid w:val="0"/>
          <w:lang w:val="fr-FR"/>
        </w:rPr>
        <w:t>– étaient présents.</w:t>
      </w:r>
      <w:r w:rsidR="00FD2180">
        <w:rPr>
          <w:snapToGrid w:val="0"/>
          <w:lang w:val="fr-FR"/>
        </w:rPr>
        <w:t xml:space="preserve"> </w:t>
      </w:r>
      <w:r w:rsidR="00775EE8" w:rsidRPr="00775EE8">
        <w:rPr>
          <w:snapToGrid w:val="0"/>
          <w:lang w:val="fr-FR"/>
        </w:rPr>
        <w:t xml:space="preserve">La collaboration entre les secteurs de la recherche, de l’art et de la communication en faveur de l’océan sera </w:t>
      </w:r>
      <w:r w:rsidR="008E327B">
        <w:rPr>
          <w:snapToGrid w:val="0"/>
          <w:lang w:val="fr-FR"/>
        </w:rPr>
        <w:t>effectivement</w:t>
      </w:r>
      <w:r w:rsidR="00775EE8">
        <w:rPr>
          <w:snapToGrid w:val="0"/>
          <w:lang w:val="fr-FR"/>
        </w:rPr>
        <w:t xml:space="preserve"> </w:t>
      </w:r>
      <w:r w:rsidR="00775EE8" w:rsidRPr="00775EE8">
        <w:rPr>
          <w:snapToGrid w:val="0"/>
          <w:lang w:val="fr-FR"/>
        </w:rPr>
        <w:t>un aspect essentiel du processus d’initiation à l’océan.</w:t>
      </w:r>
      <w:r w:rsidR="00775EE8">
        <w:rPr>
          <w:snapToGrid w:val="0"/>
          <w:lang w:val="fr-FR"/>
        </w:rPr>
        <w:t xml:space="preserve"> </w:t>
      </w:r>
      <w:r w:rsidR="00775EE8" w:rsidRPr="00775EE8">
        <w:rPr>
          <w:snapToGrid w:val="0"/>
          <w:lang w:val="fr-FR"/>
        </w:rPr>
        <w:t>Des bonnes pratiques d’éducation formelle et non formelle ainsi que des exemples de partenariats public-privé fructueux ont été présentés pour jeter les bases d’un échange entre les participants.</w:t>
      </w:r>
    </w:p>
    <w:p w:rsidR="00F925A2" w:rsidRDefault="00470BFA" w:rsidP="004A0312">
      <w:pPr>
        <w:pStyle w:val="a"/>
        <w:spacing w:line="240" w:lineRule="auto"/>
        <w:ind w:left="1134"/>
        <w:rPr>
          <w:snapToGrid w:val="0"/>
          <w:lang w:val="fr-FR"/>
        </w:rPr>
      </w:pPr>
      <w:r w:rsidRPr="00D20BDC">
        <w:rPr>
          <w:snapToGrid w:val="0"/>
          <w:lang w:val="fr-FR"/>
        </w:rPr>
        <w:t>(ii)</w:t>
      </w:r>
      <w:r w:rsidRPr="00D20BDC">
        <w:rPr>
          <w:snapToGrid w:val="0"/>
          <w:lang w:val="fr-FR"/>
        </w:rPr>
        <w:tab/>
      </w:r>
      <w:r w:rsidR="00D20BDC" w:rsidRPr="00D20BDC">
        <w:rPr>
          <w:b/>
          <w:bCs/>
          <w:snapToGrid w:val="0"/>
          <w:lang w:val="fr-FR"/>
        </w:rPr>
        <w:t>Accès aux connaissances de l’océan pour tous –</w:t>
      </w:r>
      <w:r w:rsidR="00D20BDC">
        <w:rPr>
          <w:b/>
          <w:bCs/>
          <w:snapToGrid w:val="0"/>
          <w:lang w:val="fr-FR"/>
        </w:rPr>
        <w:t xml:space="preserve"> K</w:t>
      </w:r>
      <w:r w:rsidR="00D20BDC" w:rsidRPr="00D20BDC">
        <w:rPr>
          <w:b/>
          <w:bCs/>
          <w:snapToGrid w:val="0"/>
          <w:lang w:val="fr-FR"/>
        </w:rPr>
        <w:t xml:space="preserve">it </w:t>
      </w:r>
      <w:r w:rsidR="000C1232" w:rsidRPr="00D20BDC">
        <w:rPr>
          <w:b/>
          <w:bCs/>
          <w:snapToGrid w:val="0"/>
          <w:lang w:val="fr-FR"/>
        </w:rPr>
        <w:t>pédagogique</w:t>
      </w:r>
      <w:r w:rsidR="00D20BDC" w:rsidRPr="00D20BDC">
        <w:rPr>
          <w:snapToGrid w:val="0"/>
          <w:lang w:val="fr-FR"/>
        </w:rPr>
        <w:t xml:space="preserve">. </w:t>
      </w:r>
      <w:r w:rsidR="00D20BDC">
        <w:rPr>
          <w:snapToGrid w:val="0"/>
          <w:lang w:val="fr-FR"/>
        </w:rPr>
        <w:t>Ce manuel</w:t>
      </w:r>
      <w:r w:rsidR="00D20BDC" w:rsidRPr="00D20BDC">
        <w:rPr>
          <w:snapToGrid w:val="0"/>
          <w:lang w:val="fr-FR"/>
        </w:rPr>
        <w:t xml:space="preserve"> en deux parties</w:t>
      </w:r>
      <w:r w:rsidR="00D20BDC">
        <w:rPr>
          <w:snapToGrid w:val="0"/>
          <w:lang w:val="fr-FR"/>
        </w:rPr>
        <w:t xml:space="preserve"> (</w:t>
      </w:r>
      <w:hyperlink r:id="rId14" w:history="1">
        <w:r w:rsidR="00D20BDC" w:rsidRPr="00D20BDC">
          <w:rPr>
            <w:rStyle w:val="Hyperlink"/>
            <w:snapToGrid w:val="0"/>
            <w:lang w:val="fr-FR"/>
          </w:rPr>
          <w:t>IOC/2017/MG/80 REV.</w:t>
        </w:r>
      </w:hyperlink>
      <w:r w:rsidR="00D20BDC">
        <w:rPr>
          <w:snapToGrid w:val="0"/>
          <w:lang w:val="fr-FR"/>
        </w:rPr>
        <w:t>)</w:t>
      </w:r>
      <w:r w:rsidR="00D20BDC" w:rsidRPr="00D20BDC">
        <w:rPr>
          <w:snapToGrid w:val="0"/>
          <w:lang w:val="fr-FR"/>
        </w:rPr>
        <w:t xml:space="preserve">, produit par le Bureau régional de l’UNESCO pour la science et la culture en Europe (Venise, Italie) et la Commission océanographique intergouvernementale (COI), est le </w:t>
      </w:r>
      <w:r w:rsidR="008E327B">
        <w:rPr>
          <w:snapToGrid w:val="0"/>
          <w:lang w:val="fr-FR"/>
        </w:rPr>
        <w:t>fruit</w:t>
      </w:r>
      <w:r w:rsidR="00D20BDC" w:rsidRPr="00D20BDC">
        <w:rPr>
          <w:snapToGrid w:val="0"/>
          <w:lang w:val="fr-FR"/>
        </w:rPr>
        <w:t xml:space="preserve"> de la collaboration et des contributions des membres du partenariat mondial conduit par la COI.</w:t>
      </w:r>
      <w:r w:rsidR="005E6CE7" w:rsidRPr="005E6CE7">
        <w:rPr>
          <w:snapToGrid w:val="0"/>
          <w:lang w:val="fr-FR"/>
        </w:rPr>
        <w:t xml:space="preserve"> </w:t>
      </w:r>
      <w:r w:rsidR="00D20BDC" w:rsidRPr="00D20BDC">
        <w:rPr>
          <w:snapToGrid w:val="0"/>
          <w:lang w:val="fr-FR"/>
        </w:rPr>
        <w:t>Il s’appuie sur l’initiative « Accès aux connaissances de l’océan pour tous », ainsi que sur l’Appel à l’action lancé à l’issue de la Conférence des Nations Unies sur les océans, qui invite toutes les part</w:t>
      </w:r>
      <w:r w:rsidR="00D20BDC">
        <w:rPr>
          <w:snapToGrid w:val="0"/>
          <w:lang w:val="fr-FR"/>
        </w:rPr>
        <w:t>ies prenantes à « </w:t>
      </w:r>
      <w:r w:rsidR="00D20BDC" w:rsidRPr="00D20BDC">
        <w:rPr>
          <w:snapToGrid w:val="0"/>
          <w:lang w:val="fr-FR"/>
        </w:rPr>
        <w:t>appuyer les plans destinés à encourager l’action éducative au sujet de l’océan</w:t>
      </w:r>
      <w:r w:rsidR="00D20BDC" w:rsidRPr="00D20BDC">
        <w:rPr>
          <w:lang w:val="fr-FR"/>
        </w:rPr>
        <w:t xml:space="preserve"> [</w:t>
      </w:r>
      <w:r w:rsidR="00D20BDC">
        <w:rPr>
          <w:lang w:val="fr-FR"/>
        </w:rPr>
        <w:t>e</w:t>
      </w:r>
      <w:r w:rsidR="00D20BDC" w:rsidRPr="00D20BDC">
        <w:rPr>
          <w:lang w:val="fr-FR"/>
        </w:rPr>
        <w:t xml:space="preserve">t] </w:t>
      </w:r>
      <w:r w:rsidR="00D20BDC" w:rsidRPr="00D20BDC">
        <w:rPr>
          <w:snapToGrid w:val="0"/>
          <w:lang w:val="fr-FR"/>
        </w:rPr>
        <w:t>à mieux le faire connaître ».</w:t>
      </w:r>
      <w:r w:rsidR="00D20BDC">
        <w:rPr>
          <w:snapToGrid w:val="0"/>
          <w:lang w:val="fr-FR"/>
        </w:rPr>
        <w:t xml:space="preserve"> Cette</w:t>
      </w:r>
      <w:r w:rsidR="00D20BDC" w:rsidRPr="00D20BDC">
        <w:rPr>
          <w:snapToGrid w:val="0"/>
          <w:lang w:val="fr-FR"/>
        </w:rPr>
        <w:t xml:space="preserve"> publication fournit aux éducateurs et aux apprenants du monde entier des outils, des méthodes et des ressources innovants pour leur permettre de comprendre les processus et les fonctions océaniques complexes, mais aussi les alerter sur les questions les plus pressantes concernant l’océan.</w:t>
      </w:r>
      <w:r w:rsidR="005E6CE7" w:rsidRPr="005E6CE7">
        <w:rPr>
          <w:snapToGrid w:val="0"/>
          <w:lang w:val="fr-FR"/>
        </w:rPr>
        <w:t xml:space="preserve"> </w:t>
      </w:r>
      <w:r w:rsidR="00D20BDC" w:rsidRPr="00D20BDC">
        <w:rPr>
          <w:snapToGrid w:val="0"/>
          <w:lang w:val="fr-FR"/>
        </w:rPr>
        <w:t>Elle présente les principes et informations scientifiques essentiels pour comprendre la relation de cause à effet entre le comportement individuel et collectif et les impacts qui menacent la santé de l’océan.</w:t>
      </w:r>
      <w:r w:rsidR="00FD2180">
        <w:rPr>
          <w:color w:val="000000"/>
          <w:sz w:val="27"/>
          <w:szCs w:val="27"/>
          <w:lang w:val="fr-FR"/>
        </w:rPr>
        <w:t xml:space="preserve"> </w:t>
      </w:r>
      <w:r w:rsidR="00737936" w:rsidRPr="00737936">
        <w:rPr>
          <w:snapToGrid w:val="0"/>
          <w:lang w:val="fr-FR"/>
        </w:rPr>
        <w:t xml:space="preserve">Il </w:t>
      </w:r>
      <w:r w:rsidR="00737936">
        <w:rPr>
          <w:snapToGrid w:val="0"/>
          <w:lang w:val="fr-FR"/>
        </w:rPr>
        <w:t>y a tout lieu</w:t>
      </w:r>
      <w:r w:rsidR="00737936" w:rsidRPr="00737936">
        <w:rPr>
          <w:snapToGrid w:val="0"/>
          <w:lang w:val="fr-FR"/>
        </w:rPr>
        <w:t xml:space="preserve"> </w:t>
      </w:r>
      <w:r w:rsidR="00737936">
        <w:rPr>
          <w:snapToGrid w:val="0"/>
          <w:lang w:val="fr-FR"/>
        </w:rPr>
        <w:t>d’</w:t>
      </w:r>
      <w:r w:rsidR="00737936" w:rsidRPr="00737936">
        <w:rPr>
          <w:snapToGrid w:val="0"/>
          <w:lang w:val="fr-FR"/>
        </w:rPr>
        <w:t>espérer qu’elle encouragera les citoyens, les chercheurs, les éducateurs et les apprenants à assumer une plus grande responsabilité individuelle en faveur de l’océan, et à collaborer dans le cadre de partenariats et de réseaux, en partageant des idées et des expériences et en développant de nouvelles approches et initiatives à l’appui de l’initiation à l’océan.</w:t>
      </w:r>
      <w:r w:rsidR="00737936">
        <w:rPr>
          <w:snapToGrid w:val="0"/>
          <w:lang w:val="fr-FR"/>
        </w:rPr>
        <w:t xml:space="preserve"> </w:t>
      </w:r>
      <w:r w:rsidR="00737936" w:rsidRPr="00737936">
        <w:rPr>
          <w:snapToGrid w:val="0"/>
          <w:lang w:val="fr-FR"/>
        </w:rPr>
        <w:t>Alors que le milieu marin occupe une place centrale dans la poursuite du développement durable, aujourd’hui plus que jamais, il est essentiel de faire en sorte que les citoyens et les décideurs aient une bonne connaissance des liens étroits qui existent entre le bien</w:t>
      </w:r>
      <w:r w:rsidR="00FD2180">
        <w:rPr>
          <w:snapToGrid w:val="0"/>
          <w:lang w:val="fr-FR"/>
        </w:rPr>
        <w:noBreakHyphen/>
      </w:r>
      <w:r w:rsidR="00737936" w:rsidRPr="00737936">
        <w:rPr>
          <w:snapToGrid w:val="0"/>
          <w:lang w:val="fr-FR"/>
        </w:rPr>
        <w:t>être humain et celui de l’océan.</w:t>
      </w:r>
      <w:r w:rsidR="00737936">
        <w:rPr>
          <w:snapToGrid w:val="0"/>
          <w:lang w:val="fr-FR"/>
        </w:rPr>
        <w:t xml:space="preserve"> </w:t>
      </w:r>
      <w:r w:rsidR="00737936" w:rsidRPr="00737936">
        <w:rPr>
          <w:snapToGrid w:val="0"/>
          <w:lang w:val="fr-FR"/>
        </w:rPr>
        <w:t xml:space="preserve">Puisqu’il ne peut y avoir d’avenir </w:t>
      </w:r>
      <w:r w:rsidR="00737936">
        <w:rPr>
          <w:snapToGrid w:val="0"/>
          <w:lang w:val="fr-FR"/>
        </w:rPr>
        <w:t>viable</w:t>
      </w:r>
      <w:r w:rsidR="00737936" w:rsidRPr="00737936">
        <w:rPr>
          <w:snapToGrid w:val="0"/>
          <w:lang w:val="fr-FR"/>
        </w:rPr>
        <w:t xml:space="preserve"> sans un océan en bonne santé, l’initiation à l’océan est indispensable pour réaliser le Programme de développement durable à l’horizon 2030.</w:t>
      </w:r>
      <w:r w:rsidR="00737936">
        <w:rPr>
          <w:snapToGrid w:val="0"/>
          <w:lang w:val="fr-FR"/>
        </w:rPr>
        <w:t xml:space="preserve"> Le kit pédagogique « </w:t>
      </w:r>
      <w:r w:rsidR="00737936" w:rsidRPr="00737936">
        <w:rPr>
          <w:snapToGrid w:val="0"/>
          <w:lang w:val="fr-FR"/>
        </w:rPr>
        <w:t>Accès aux connaissances de l’océan pour tous</w:t>
      </w:r>
      <w:r w:rsidR="00737936">
        <w:rPr>
          <w:snapToGrid w:val="0"/>
          <w:lang w:val="fr-FR"/>
        </w:rPr>
        <w:t> » est actuellement mis</w:t>
      </w:r>
      <w:r w:rsidR="00737936" w:rsidRPr="00737936">
        <w:rPr>
          <w:snapToGrid w:val="0"/>
          <w:lang w:val="fr-FR"/>
        </w:rPr>
        <w:t xml:space="preserve"> à l’essai dans les écoles de 35</w:t>
      </w:r>
      <w:r w:rsidR="00FD2180">
        <w:rPr>
          <w:snapToGrid w:val="0"/>
          <w:lang w:val="fr-FR"/>
        </w:rPr>
        <w:t> </w:t>
      </w:r>
      <w:r w:rsidR="00737936" w:rsidRPr="00737936">
        <w:rPr>
          <w:snapToGrid w:val="0"/>
          <w:lang w:val="fr-FR"/>
        </w:rPr>
        <w:t xml:space="preserve">pays membres du Réseau des écoles associées </w:t>
      </w:r>
      <w:r w:rsidR="008E327B">
        <w:rPr>
          <w:snapToGrid w:val="0"/>
          <w:lang w:val="fr-FR"/>
        </w:rPr>
        <w:t xml:space="preserve">(réSEAU) </w:t>
      </w:r>
      <w:r w:rsidR="00737936" w:rsidRPr="00737936">
        <w:rPr>
          <w:snapToGrid w:val="0"/>
          <w:lang w:val="fr-FR"/>
        </w:rPr>
        <w:t>de l’UNESCO</w:t>
      </w:r>
      <w:r w:rsidR="00737936">
        <w:rPr>
          <w:snapToGrid w:val="0"/>
          <w:lang w:val="fr-FR"/>
        </w:rPr>
        <w:t>. Les con</w:t>
      </w:r>
      <w:r w:rsidR="008E327B">
        <w:rPr>
          <w:snapToGrid w:val="0"/>
          <w:lang w:val="fr-FR"/>
        </w:rPr>
        <w:t>clusions de cette phase d’essai</w:t>
      </w:r>
      <w:r w:rsidR="00737936">
        <w:rPr>
          <w:snapToGrid w:val="0"/>
          <w:lang w:val="fr-FR"/>
        </w:rPr>
        <w:t xml:space="preserve"> seront connues à l’automne 2019.</w:t>
      </w:r>
    </w:p>
    <w:p w:rsidR="00737936" w:rsidRDefault="00737936" w:rsidP="004A0312">
      <w:pPr>
        <w:pStyle w:val="a"/>
        <w:spacing w:line="240" w:lineRule="auto"/>
        <w:ind w:left="1134"/>
        <w:rPr>
          <w:snapToGrid w:val="0"/>
          <w:lang w:val="fr-FR"/>
        </w:rPr>
      </w:pPr>
      <w:r>
        <w:rPr>
          <w:snapToGrid w:val="0"/>
          <w:lang w:val="fr-FR"/>
        </w:rPr>
        <w:t>(iii)</w:t>
      </w:r>
      <w:r>
        <w:rPr>
          <w:snapToGrid w:val="0"/>
          <w:lang w:val="fr-FR"/>
        </w:rPr>
        <w:tab/>
      </w:r>
      <w:r w:rsidRPr="00737936">
        <w:rPr>
          <w:b/>
          <w:snapToGrid w:val="0"/>
          <w:lang w:val="fr-FR"/>
        </w:rPr>
        <w:t xml:space="preserve">Plate-forme en ligne </w:t>
      </w:r>
      <w:r w:rsidR="000C6244">
        <w:rPr>
          <w:b/>
          <w:snapToGrid w:val="0"/>
          <w:lang w:val="fr-FR"/>
        </w:rPr>
        <w:t>d’i</w:t>
      </w:r>
      <w:r w:rsidRPr="00737936">
        <w:rPr>
          <w:b/>
          <w:snapToGrid w:val="0"/>
          <w:lang w:val="fr-FR"/>
        </w:rPr>
        <w:t>nitiation à l’océan</w:t>
      </w:r>
      <w:r>
        <w:rPr>
          <w:snapToGrid w:val="0"/>
          <w:lang w:val="fr-FR"/>
        </w:rPr>
        <w:t xml:space="preserve">. </w:t>
      </w:r>
      <w:r w:rsidRPr="00737936">
        <w:rPr>
          <w:snapToGrid w:val="0"/>
          <w:lang w:val="fr-FR"/>
        </w:rPr>
        <w:t xml:space="preserve">La plate-forme en ligne </w:t>
      </w:r>
      <w:r w:rsidR="000C6244">
        <w:rPr>
          <w:snapToGrid w:val="0"/>
          <w:lang w:val="fr-FR"/>
        </w:rPr>
        <w:t>d’i</w:t>
      </w:r>
      <w:r w:rsidRPr="00737936">
        <w:rPr>
          <w:snapToGrid w:val="0"/>
          <w:lang w:val="fr-FR"/>
        </w:rPr>
        <w:t>nitiation à l’océan</w:t>
      </w:r>
      <w:r w:rsidR="000C6244">
        <w:rPr>
          <w:snapToGrid w:val="0"/>
          <w:lang w:val="fr-FR"/>
        </w:rPr>
        <w:t xml:space="preserve"> (</w:t>
      </w:r>
      <w:hyperlink r:id="rId15" w:history="1">
        <w:r w:rsidR="000C6244" w:rsidRPr="000C6244">
          <w:rPr>
            <w:rStyle w:val="Hyperlink"/>
            <w:snapToGrid w:val="0"/>
            <w:lang w:val="fr-FR"/>
          </w:rPr>
          <w:t>https://oceanliteracy.unesco.org/fr/</w:t>
        </w:r>
      </w:hyperlink>
      <w:r w:rsidR="000C6244">
        <w:rPr>
          <w:snapToGrid w:val="0"/>
          <w:lang w:val="fr-FR"/>
        </w:rPr>
        <w:t>)</w:t>
      </w:r>
      <w:r w:rsidRPr="00737936">
        <w:rPr>
          <w:snapToGrid w:val="0"/>
          <w:lang w:val="fr-FR"/>
        </w:rPr>
        <w:t xml:space="preserve"> est destinée au partage des ressources, des projets et des </w:t>
      </w:r>
      <w:r w:rsidR="00064200">
        <w:rPr>
          <w:snapToGrid w:val="0"/>
          <w:lang w:val="fr-FR"/>
        </w:rPr>
        <w:t>talents</w:t>
      </w:r>
      <w:r w:rsidRPr="00737936">
        <w:rPr>
          <w:snapToGrid w:val="0"/>
          <w:lang w:val="fr-FR"/>
        </w:rPr>
        <w:t xml:space="preserve"> dans le domaine de l’initiation à l’océan en faveur du développement durable.</w:t>
      </w:r>
      <w:r>
        <w:rPr>
          <w:snapToGrid w:val="0"/>
          <w:lang w:val="fr-FR"/>
        </w:rPr>
        <w:t xml:space="preserve"> </w:t>
      </w:r>
      <w:r w:rsidRPr="00737936">
        <w:rPr>
          <w:snapToGrid w:val="0"/>
          <w:lang w:val="fr-FR"/>
        </w:rPr>
        <w:t xml:space="preserve">La plate-forme comprendra également une section intranet pour faciliter la collaboration entre les personnes souhaitant </w:t>
      </w:r>
      <w:r w:rsidR="006E15D7">
        <w:rPr>
          <w:snapToGrid w:val="0"/>
          <w:lang w:val="fr-FR"/>
        </w:rPr>
        <w:t>mettre au point</w:t>
      </w:r>
      <w:r w:rsidRPr="00737936">
        <w:rPr>
          <w:snapToGrid w:val="0"/>
          <w:lang w:val="fr-FR"/>
        </w:rPr>
        <w:t xml:space="preserve"> des activités conjointes </w:t>
      </w:r>
      <w:r w:rsidR="006E15D7">
        <w:rPr>
          <w:snapToGrid w:val="0"/>
          <w:lang w:val="fr-FR"/>
        </w:rPr>
        <w:t xml:space="preserve">en matière </w:t>
      </w:r>
      <w:r w:rsidRPr="00737936">
        <w:rPr>
          <w:snapToGrid w:val="0"/>
          <w:lang w:val="fr-FR"/>
        </w:rPr>
        <w:t>d’initiation à l’océan.</w:t>
      </w:r>
    </w:p>
    <w:p w:rsidR="006E15D7" w:rsidRDefault="006E15D7" w:rsidP="004A0312">
      <w:pPr>
        <w:pStyle w:val="a"/>
        <w:spacing w:line="240" w:lineRule="auto"/>
        <w:ind w:left="1134"/>
        <w:rPr>
          <w:snapToGrid w:val="0"/>
          <w:lang w:val="fr-FR"/>
        </w:rPr>
      </w:pPr>
      <w:r>
        <w:rPr>
          <w:snapToGrid w:val="0"/>
          <w:lang w:val="fr-FR"/>
        </w:rPr>
        <w:t>(iv)</w:t>
      </w:r>
      <w:r>
        <w:rPr>
          <w:snapToGrid w:val="0"/>
          <w:lang w:val="fr-FR"/>
        </w:rPr>
        <w:tab/>
      </w:r>
      <w:r w:rsidRPr="006E15D7">
        <w:rPr>
          <w:b/>
          <w:snapToGrid w:val="0"/>
          <w:lang w:val="fr-FR"/>
        </w:rPr>
        <w:t>Projet « </w:t>
      </w:r>
      <w:r w:rsidRPr="006E15D7">
        <w:rPr>
          <w:b/>
          <w:i/>
          <w:snapToGrid w:val="0"/>
          <w:lang w:val="fr-FR"/>
        </w:rPr>
        <w:t>Sea Change</w:t>
      </w:r>
      <w:r w:rsidRPr="006E15D7">
        <w:rPr>
          <w:b/>
          <w:snapToGrid w:val="0"/>
          <w:lang w:val="fr-FR"/>
        </w:rPr>
        <w:t> »</w:t>
      </w:r>
      <w:r>
        <w:rPr>
          <w:snapToGrid w:val="0"/>
          <w:lang w:val="fr-FR"/>
        </w:rPr>
        <w:t>.</w:t>
      </w:r>
      <w:r w:rsidRPr="006E15D7">
        <w:rPr>
          <w:snapToGrid w:val="0"/>
          <w:lang w:val="fr-FR"/>
        </w:rPr>
        <w:t xml:space="preserve"> </w:t>
      </w:r>
      <w:r w:rsidRPr="006E15D7">
        <w:rPr>
          <w:i/>
          <w:snapToGrid w:val="0"/>
          <w:lang w:val="fr-FR"/>
        </w:rPr>
        <w:t>Sea Change</w:t>
      </w:r>
      <w:r w:rsidRPr="006E15D7">
        <w:rPr>
          <w:snapToGrid w:val="0"/>
          <w:lang w:val="fr-FR"/>
        </w:rPr>
        <w:t xml:space="preserve"> est un projet financé dans le cadre du programme Horizon 2020 de l’Union européenne, qui vise à induire un changement fondamental dans la façon dont les citoyens perçoivent leur relation avec la mer, en leur donnant les moyens, en tant que citoyens sensibilisés à l’importance de l’océan, d’agir directement et durablement pour la santé des mers</w:t>
      </w:r>
      <w:r w:rsidR="008E327B">
        <w:rPr>
          <w:snapToGrid w:val="0"/>
          <w:lang w:val="fr-FR"/>
        </w:rPr>
        <w:t xml:space="preserve"> et des océans, des communautés</w:t>
      </w:r>
      <w:r w:rsidRPr="006E15D7">
        <w:rPr>
          <w:snapToGrid w:val="0"/>
          <w:lang w:val="fr-FR"/>
        </w:rPr>
        <w:t xml:space="preserve"> et</w:t>
      </w:r>
      <w:r w:rsidR="008E327B">
        <w:rPr>
          <w:snapToGrid w:val="0"/>
          <w:lang w:val="fr-FR"/>
        </w:rPr>
        <w:t>, en définitive,</w:t>
      </w:r>
      <w:r w:rsidRPr="006E15D7">
        <w:rPr>
          <w:snapToGrid w:val="0"/>
          <w:lang w:val="fr-FR"/>
        </w:rPr>
        <w:t xml:space="preserve"> de la planète.</w:t>
      </w:r>
      <w:r>
        <w:rPr>
          <w:snapToGrid w:val="0"/>
          <w:lang w:val="fr-FR"/>
        </w:rPr>
        <w:t xml:space="preserve"> </w:t>
      </w:r>
      <w:r w:rsidRPr="006E15D7">
        <w:rPr>
          <w:snapToGrid w:val="0"/>
          <w:lang w:val="fr-FR"/>
        </w:rPr>
        <w:t xml:space="preserve">Le projet a été mené de mars 2015 à février 2018, et dans ce </w:t>
      </w:r>
      <w:r w:rsidRPr="006E15D7">
        <w:rPr>
          <w:snapToGrid w:val="0"/>
          <w:lang w:val="fr-FR"/>
        </w:rPr>
        <w:lastRenderedPageBreak/>
        <w:t xml:space="preserve">cadre, la COI de l’UNESCO a mis au point le premier cours en ligne ouvert à tous </w:t>
      </w:r>
      <w:r w:rsidR="005E17C4">
        <w:rPr>
          <w:snapToGrid w:val="0"/>
          <w:lang w:val="fr-FR"/>
        </w:rPr>
        <w:t>(</w:t>
      </w:r>
      <w:hyperlink r:id="rId16" w:history="1">
        <w:r w:rsidR="005E17C4" w:rsidRPr="005E17C4">
          <w:rPr>
            <w:rStyle w:val="Hyperlink"/>
            <w:snapToGrid w:val="0"/>
            <w:lang w:val="fr-FR"/>
          </w:rPr>
          <w:t>MOOC</w:t>
        </w:r>
      </w:hyperlink>
      <w:r w:rsidR="005E17C4">
        <w:rPr>
          <w:snapToGrid w:val="0"/>
          <w:lang w:val="fr-FR"/>
        </w:rPr>
        <w:t xml:space="preserve">) </w:t>
      </w:r>
      <w:r w:rsidRPr="006E15D7">
        <w:rPr>
          <w:snapToGrid w:val="0"/>
          <w:lang w:val="fr-FR"/>
        </w:rPr>
        <w:t xml:space="preserve">sur l’initiation à l’océan, </w:t>
      </w:r>
      <w:r w:rsidR="005E17C4">
        <w:rPr>
          <w:snapToGrid w:val="0"/>
          <w:lang w:val="fr-FR"/>
        </w:rPr>
        <w:t>auquel ont pris part</w:t>
      </w:r>
      <w:r w:rsidRPr="006E15D7">
        <w:rPr>
          <w:snapToGrid w:val="0"/>
          <w:lang w:val="fr-FR"/>
        </w:rPr>
        <w:t xml:space="preserve"> plus de 500 participants du monde entier, ainsi</w:t>
      </w:r>
      <w:r w:rsidR="005E17C4">
        <w:rPr>
          <w:snapToGrid w:val="0"/>
          <w:lang w:val="fr-FR"/>
        </w:rPr>
        <w:t xml:space="preserve"> que la </w:t>
      </w:r>
      <w:hyperlink r:id="rId17" w:history="1">
        <w:r w:rsidR="005E17C4" w:rsidRPr="005E17C4">
          <w:rPr>
            <w:rStyle w:val="Hyperlink"/>
            <w:snapToGrid w:val="0"/>
            <w:lang w:val="fr-FR"/>
          </w:rPr>
          <w:t xml:space="preserve">Feuille de route pour une </w:t>
        </w:r>
        <w:r w:rsidRPr="005E17C4">
          <w:rPr>
            <w:rStyle w:val="Hyperlink"/>
            <w:snapToGrid w:val="0"/>
            <w:lang w:val="fr-FR"/>
          </w:rPr>
          <w:t xml:space="preserve">interface science-société-politiques </w:t>
        </w:r>
        <w:r w:rsidR="005E17C4" w:rsidRPr="005E17C4">
          <w:rPr>
            <w:rStyle w:val="Hyperlink"/>
            <w:snapToGrid w:val="0"/>
            <w:lang w:val="fr-FR"/>
          </w:rPr>
          <w:t>efficace en matière de</w:t>
        </w:r>
        <w:r w:rsidRPr="005E17C4">
          <w:rPr>
            <w:rStyle w:val="Hyperlink"/>
            <w:snapToGrid w:val="0"/>
            <w:lang w:val="fr-FR"/>
          </w:rPr>
          <w:t xml:space="preserve"> gouvernance de l’océan</w:t>
        </w:r>
      </w:hyperlink>
      <w:r w:rsidRPr="006E15D7">
        <w:rPr>
          <w:snapToGrid w:val="0"/>
          <w:lang w:val="fr-FR"/>
        </w:rPr>
        <w:t>.</w:t>
      </w:r>
    </w:p>
    <w:p w:rsidR="00761010" w:rsidRDefault="00761010" w:rsidP="004A0312">
      <w:pPr>
        <w:pStyle w:val="a"/>
        <w:spacing w:line="240" w:lineRule="auto"/>
        <w:ind w:left="1134"/>
        <w:rPr>
          <w:snapToGrid w:val="0"/>
          <w:lang w:val="fr-FR"/>
        </w:rPr>
      </w:pPr>
      <w:r>
        <w:rPr>
          <w:snapToGrid w:val="0"/>
          <w:lang w:val="fr-FR"/>
        </w:rPr>
        <w:t>(v)</w:t>
      </w:r>
      <w:r>
        <w:rPr>
          <w:snapToGrid w:val="0"/>
          <w:lang w:val="fr-FR"/>
        </w:rPr>
        <w:tab/>
      </w:r>
      <w:r w:rsidRPr="00B53A2D">
        <w:rPr>
          <w:b/>
          <w:snapToGrid w:val="0"/>
          <w:lang w:val="fr-FR"/>
        </w:rPr>
        <w:t>Ateliers « Éducation mondiale sur l</w:t>
      </w:r>
      <w:r w:rsidR="00B53A2D" w:rsidRPr="00B53A2D">
        <w:rPr>
          <w:b/>
          <w:snapToGrid w:val="0"/>
          <w:lang w:val="fr-FR"/>
        </w:rPr>
        <w:t>es sciences de l’océan » (GOSE)</w:t>
      </w:r>
      <w:r w:rsidR="00B53A2D">
        <w:rPr>
          <w:snapToGrid w:val="0"/>
          <w:lang w:val="fr-FR"/>
        </w:rPr>
        <w:t>. L’édition 2017</w:t>
      </w:r>
      <w:r w:rsidRPr="00761010">
        <w:rPr>
          <w:snapToGrid w:val="0"/>
          <w:lang w:val="fr-FR"/>
        </w:rPr>
        <w:t xml:space="preserve"> </w:t>
      </w:r>
      <w:r w:rsidR="00B53A2D">
        <w:rPr>
          <w:snapToGrid w:val="0"/>
          <w:lang w:val="fr-FR"/>
        </w:rPr>
        <w:t>d</w:t>
      </w:r>
      <w:r w:rsidRPr="00761010">
        <w:rPr>
          <w:snapToGrid w:val="0"/>
          <w:lang w:val="fr-FR"/>
        </w:rPr>
        <w:t>es ateliers « Éducation mondiale</w:t>
      </w:r>
      <w:r w:rsidR="008E327B">
        <w:rPr>
          <w:snapToGrid w:val="0"/>
          <w:lang w:val="fr-FR"/>
        </w:rPr>
        <w:t xml:space="preserve"> sur les sciences de l’océan » était parrainée et animée</w:t>
      </w:r>
      <w:r w:rsidRPr="00761010">
        <w:rPr>
          <w:snapToGrid w:val="0"/>
          <w:lang w:val="fr-FR"/>
        </w:rPr>
        <w:t xml:space="preserve"> par le Consortium pour l’exploration et l’engagement en sciences de l’océan (COSEE), la COI et le </w:t>
      </w:r>
      <w:r w:rsidRPr="00B53A2D">
        <w:rPr>
          <w:i/>
          <w:snapToGrid w:val="0"/>
          <w:lang w:val="fr-FR"/>
        </w:rPr>
        <w:t>College of Exploration</w:t>
      </w:r>
      <w:r w:rsidRPr="00761010">
        <w:rPr>
          <w:snapToGrid w:val="0"/>
          <w:lang w:val="fr-FR"/>
        </w:rPr>
        <w:t xml:space="preserve">, </w:t>
      </w:r>
      <w:r w:rsidR="0002396B">
        <w:rPr>
          <w:snapToGrid w:val="0"/>
          <w:lang w:val="fr-FR"/>
        </w:rPr>
        <w:t>avec pour objectif</w:t>
      </w:r>
      <w:r w:rsidRPr="00761010">
        <w:rPr>
          <w:snapToGrid w:val="0"/>
          <w:lang w:val="fr-FR"/>
        </w:rPr>
        <w:t xml:space="preserve"> de rassembler les secteurs des sciences océaniques, de l’éducation, des politiques </w:t>
      </w:r>
      <w:r w:rsidR="00B53A2D">
        <w:rPr>
          <w:snapToGrid w:val="0"/>
          <w:lang w:val="fr-FR"/>
        </w:rPr>
        <w:t xml:space="preserve">publiques </w:t>
      </w:r>
      <w:r w:rsidRPr="00761010">
        <w:rPr>
          <w:snapToGrid w:val="0"/>
          <w:lang w:val="fr-FR"/>
        </w:rPr>
        <w:t>et des affaires.</w:t>
      </w:r>
    </w:p>
    <w:p w:rsidR="00B53A2D" w:rsidRDefault="00B53A2D" w:rsidP="004A0312">
      <w:pPr>
        <w:pStyle w:val="a"/>
        <w:spacing w:line="240" w:lineRule="auto"/>
        <w:ind w:left="1134"/>
        <w:rPr>
          <w:snapToGrid w:val="0"/>
          <w:lang w:val="fr-FR"/>
        </w:rPr>
      </w:pPr>
      <w:r>
        <w:rPr>
          <w:snapToGrid w:val="0"/>
          <w:lang w:val="fr-FR"/>
        </w:rPr>
        <w:t>(vi)</w:t>
      </w:r>
      <w:r>
        <w:rPr>
          <w:snapToGrid w:val="0"/>
          <w:lang w:val="fr-FR"/>
        </w:rPr>
        <w:tab/>
      </w:r>
      <w:r w:rsidRPr="00B53A2D">
        <w:rPr>
          <w:b/>
          <w:snapToGrid w:val="0"/>
          <w:lang w:val="fr-FR"/>
        </w:rPr>
        <w:t>Stage de formation sur la connaissance de l’océan et la cartographie narrative de l’Académie mondiale OceanTeacher</w:t>
      </w:r>
      <w:r>
        <w:rPr>
          <w:snapToGrid w:val="0"/>
          <w:lang w:val="fr-FR"/>
        </w:rPr>
        <w:t>.</w:t>
      </w:r>
      <w:r w:rsidRPr="00B53A2D">
        <w:rPr>
          <w:snapToGrid w:val="0"/>
          <w:lang w:val="fr-FR"/>
        </w:rPr>
        <w:t xml:space="preserve"> Ce stage s’est déroulé à Santa Marta (Colombie)</w:t>
      </w:r>
      <w:r>
        <w:rPr>
          <w:snapToGrid w:val="0"/>
          <w:lang w:val="fr-FR"/>
        </w:rPr>
        <w:t>, du 13 au 15 septembre 2017,</w:t>
      </w:r>
      <w:r w:rsidRPr="00B53A2D">
        <w:rPr>
          <w:snapToGrid w:val="0"/>
          <w:lang w:val="fr-FR"/>
        </w:rPr>
        <w:t xml:space="preserve"> </w:t>
      </w:r>
      <w:r>
        <w:rPr>
          <w:snapToGrid w:val="0"/>
          <w:lang w:val="fr-FR"/>
        </w:rPr>
        <w:t>à la suite du</w:t>
      </w:r>
      <w:r w:rsidRPr="00B53A2D">
        <w:rPr>
          <w:snapToGrid w:val="0"/>
          <w:lang w:val="fr-FR"/>
        </w:rPr>
        <w:t xml:space="preserve"> 8</w:t>
      </w:r>
      <w:r w:rsidRPr="00B53A2D">
        <w:rPr>
          <w:snapToGrid w:val="0"/>
          <w:vertAlign w:val="superscript"/>
          <w:lang w:val="fr-FR"/>
        </w:rPr>
        <w:t>e</w:t>
      </w:r>
      <w:r>
        <w:rPr>
          <w:snapToGrid w:val="0"/>
          <w:lang w:val="fr-FR"/>
        </w:rPr>
        <w:t> </w:t>
      </w:r>
      <w:r w:rsidRPr="00B53A2D">
        <w:rPr>
          <w:snapToGrid w:val="0"/>
          <w:lang w:val="fr-FR"/>
        </w:rPr>
        <w:t>atelier du Réseau international des atlas côtiers (ICAN</w:t>
      </w:r>
      <w:r w:rsidR="00FD2180">
        <w:rPr>
          <w:snapToGrid w:val="0"/>
          <w:lang w:val="fr-FR"/>
        </w:rPr>
        <w:t> </w:t>
      </w:r>
      <w:r w:rsidRPr="00B53A2D">
        <w:rPr>
          <w:snapToGrid w:val="0"/>
          <w:lang w:val="fr-FR"/>
        </w:rPr>
        <w:t xml:space="preserve">8). Les deux événements se sont tenus de manière complémentaire, ce qui a permis aux experts de l’ICAN d’apporter leur contribution au stage de l’Académie mondiale OceanTeacher en tant qu’instructeurs et enseignants. </w:t>
      </w:r>
      <w:r>
        <w:rPr>
          <w:snapToGrid w:val="0"/>
          <w:lang w:val="fr-FR"/>
        </w:rPr>
        <w:t>Une quinzaine</w:t>
      </w:r>
      <w:r w:rsidRPr="00B53A2D">
        <w:rPr>
          <w:snapToGrid w:val="0"/>
          <w:lang w:val="fr-FR"/>
        </w:rPr>
        <w:t xml:space="preserve"> </w:t>
      </w:r>
      <w:r>
        <w:rPr>
          <w:snapToGrid w:val="0"/>
          <w:lang w:val="fr-FR"/>
        </w:rPr>
        <w:t>d’</w:t>
      </w:r>
      <w:r w:rsidRPr="00B53A2D">
        <w:rPr>
          <w:snapToGrid w:val="0"/>
          <w:lang w:val="fr-FR"/>
        </w:rPr>
        <w:t xml:space="preserve">étudiants venus de toute l’Amérique </w:t>
      </w:r>
      <w:r w:rsidR="0002396B">
        <w:rPr>
          <w:snapToGrid w:val="0"/>
          <w:lang w:val="fr-FR"/>
        </w:rPr>
        <w:t>latine</w:t>
      </w:r>
      <w:r w:rsidRPr="00B53A2D">
        <w:rPr>
          <w:snapToGrid w:val="0"/>
          <w:lang w:val="fr-FR"/>
        </w:rPr>
        <w:t xml:space="preserve"> ont participé au stage et ont travaillé en équipe pour produire des cartes narratives sur les problématiques côtières et marines dans un contexte d’initiation à l’océan. Le stage a encouragé la collaboration et la coopération et facilité l’utilisation pratique de la technologie de cartographie narrative. Il a ainsi favorisé la mise en réseau des participants dans différents domaines d’expertise tels que la pêche, la biodiversité marine ou la gestion des risques et des catastrophes dans la région.</w:t>
      </w:r>
    </w:p>
    <w:p w:rsidR="004A6C6A" w:rsidRDefault="004A6C6A" w:rsidP="004A0312">
      <w:pPr>
        <w:pStyle w:val="a"/>
        <w:spacing w:line="240" w:lineRule="auto"/>
        <w:ind w:left="1134"/>
        <w:rPr>
          <w:snapToGrid w:val="0"/>
          <w:lang w:val="fr-FR"/>
        </w:rPr>
      </w:pPr>
      <w:r>
        <w:rPr>
          <w:snapToGrid w:val="0"/>
          <w:lang w:val="fr-FR"/>
        </w:rPr>
        <w:t>(vii)</w:t>
      </w:r>
      <w:r>
        <w:rPr>
          <w:snapToGrid w:val="0"/>
          <w:lang w:val="fr-FR"/>
        </w:rPr>
        <w:tab/>
      </w:r>
      <w:r>
        <w:rPr>
          <w:b/>
          <w:snapToGrid w:val="0"/>
          <w:lang w:val="fr-FR"/>
        </w:rPr>
        <w:t>Forum « </w:t>
      </w:r>
      <w:r w:rsidRPr="004A6C6A">
        <w:rPr>
          <w:b/>
          <w:snapToGrid w:val="0"/>
          <w:lang w:val="fr-FR"/>
        </w:rPr>
        <w:t>One Ocean</w:t>
      </w:r>
      <w:r>
        <w:rPr>
          <w:b/>
          <w:snapToGrid w:val="0"/>
          <w:lang w:val="fr-FR"/>
        </w:rPr>
        <w:t> </w:t>
      </w:r>
      <w:r w:rsidRPr="004A6C6A">
        <w:rPr>
          <w:b/>
          <w:snapToGrid w:val="0"/>
          <w:lang w:val="fr-FR"/>
        </w:rPr>
        <w:t>»</w:t>
      </w:r>
      <w:r>
        <w:rPr>
          <w:snapToGrid w:val="0"/>
          <w:lang w:val="fr-FR"/>
        </w:rPr>
        <w:t xml:space="preserve">. </w:t>
      </w:r>
      <w:r w:rsidRPr="004A6C6A">
        <w:rPr>
          <w:snapToGrid w:val="0"/>
          <w:lang w:val="fr-FR"/>
        </w:rPr>
        <w:t>Le Forum «</w:t>
      </w:r>
      <w:r>
        <w:rPr>
          <w:snapToGrid w:val="0"/>
          <w:lang w:val="fr-FR"/>
        </w:rPr>
        <w:t> </w:t>
      </w:r>
      <w:r w:rsidRPr="004A6C6A">
        <w:rPr>
          <w:snapToGrid w:val="0"/>
          <w:lang w:val="fr-FR"/>
        </w:rPr>
        <w:t>One Ocean</w:t>
      </w:r>
      <w:r>
        <w:rPr>
          <w:snapToGrid w:val="0"/>
          <w:lang w:val="fr-FR"/>
        </w:rPr>
        <w:t> </w:t>
      </w:r>
      <w:r w:rsidRPr="004A6C6A">
        <w:rPr>
          <w:snapToGrid w:val="0"/>
          <w:lang w:val="fr-FR"/>
        </w:rPr>
        <w:t xml:space="preserve">» s’est tenu à Milan en octobre 2017. Soutenu par le Yacht Club Costa Smeralda, sous le haut patronage de la Princesse Zahra Aga Khan, le </w:t>
      </w:r>
      <w:r w:rsidR="00FD2180">
        <w:rPr>
          <w:snapToGrid w:val="0"/>
          <w:lang w:val="fr-FR"/>
        </w:rPr>
        <w:t>f</w:t>
      </w:r>
      <w:r w:rsidRPr="004A6C6A">
        <w:rPr>
          <w:snapToGrid w:val="0"/>
          <w:lang w:val="fr-FR"/>
        </w:rPr>
        <w:t>orum a rassemblé des acteurs clés et des experts renommés de différents domaines afin d’</w:t>
      </w:r>
      <w:r>
        <w:rPr>
          <w:snapToGrid w:val="0"/>
          <w:lang w:val="fr-FR"/>
        </w:rPr>
        <w:t>instaurer</w:t>
      </w:r>
      <w:r w:rsidRPr="004A6C6A">
        <w:rPr>
          <w:snapToGrid w:val="0"/>
          <w:lang w:val="fr-FR"/>
        </w:rPr>
        <w:t xml:space="preserve"> un dialogue international sur la protection de la mer. </w:t>
      </w:r>
      <w:r w:rsidRPr="00DC5BF5">
        <w:rPr>
          <w:snapToGrid w:val="0"/>
          <w:lang w:val="fr-FR"/>
        </w:rPr>
        <w:t xml:space="preserve">La discussion a porté sur les questions pressantes telles que les déchets marins et le changement climatique, </w:t>
      </w:r>
      <w:r w:rsidR="0002396B">
        <w:rPr>
          <w:snapToGrid w:val="0"/>
          <w:lang w:val="fr-FR"/>
        </w:rPr>
        <w:t>ainsi que</w:t>
      </w:r>
      <w:r w:rsidRPr="00DC5BF5">
        <w:rPr>
          <w:snapToGrid w:val="0"/>
          <w:lang w:val="fr-FR"/>
        </w:rPr>
        <w:t xml:space="preserve"> sur les solutions</w:t>
      </w:r>
      <w:r w:rsidR="0002396B">
        <w:rPr>
          <w:snapToGrid w:val="0"/>
          <w:lang w:val="fr-FR"/>
        </w:rPr>
        <w:t>,</w:t>
      </w:r>
      <w:r w:rsidRPr="00DC5BF5">
        <w:rPr>
          <w:snapToGrid w:val="0"/>
          <w:lang w:val="fr-FR"/>
        </w:rPr>
        <w:t xml:space="preserve"> telles que les technologies et les innovations bleues et l’initiation à l’océan</w:t>
      </w:r>
      <w:r w:rsidRPr="004A6C6A">
        <w:rPr>
          <w:snapToGrid w:val="0"/>
          <w:lang w:val="fr-FR"/>
        </w:rPr>
        <w:t>.</w:t>
      </w:r>
    </w:p>
    <w:p w:rsidR="00DC5BF5" w:rsidRDefault="00DC5BF5" w:rsidP="004A0312">
      <w:pPr>
        <w:pStyle w:val="a"/>
        <w:spacing w:line="240" w:lineRule="auto"/>
        <w:ind w:left="1134"/>
        <w:rPr>
          <w:snapToGrid w:val="0"/>
          <w:lang w:val="fr-FR"/>
        </w:rPr>
      </w:pPr>
      <w:r>
        <w:rPr>
          <w:snapToGrid w:val="0"/>
          <w:lang w:val="fr-FR"/>
        </w:rPr>
        <w:t>(viii)</w:t>
      </w:r>
      <w:r>
        <w:rPr>
          <w:snapToGrid w:val="0"/>
          <w:lang w:val="fr-FR"/>
        </w:rPr>
        <w:tab/>
      </w:r>
      <w:r w:rsidRPr="00DC5BF5">
        <w:rPr>
          <w:b/>
          <w:snapToGrid w:val="0"/>
          <w:lang w:val="fr-FR"/>
        </w:rPr>
        <w:t>Collaboration avec les réseaux régionaux et nationaux d’initiation à l’océan</w:t>
      </w:r>
      <w:r>
        <w:rPr>
          <w:snapToGrid w:val="0"/>
          <w:lang w:val="fr-FR"/>
        </w:rPr>
        <w:t>.</w:t>
      </w:r>
      <w:r w:rsidRPr="00DC5BF5">
        <w:rPr>
          <w:snapToGrid w:val="0"/>
          <w:lang w:val="fr-FR"/>
        </w:rPr>
        <w:t xml:space="preserve"> La COI collabore et participe aux conférences et activités organisées au niveau régional par les différentes associations d’éducateurs en sciences de la mer, telles que l’Association européenne des éducateurs en sciences de la mer (EMSEA), l’Association asiatique des éducateurs en sciences de la mer (AMEA) et l’Association nationale des éducateurs en sciences de la mer (NMEA).</w:t>
      </w:r>
      <w:r w:rsidR="00CB5096">
        <w:rPr>
          <w:snapToGrid w:val="0"/>
          <w:lang w:val="fr-FR"/>
        </w:rPr>
        <w:t xml:space="preserve"> </w:t>
      </w:r>
      <w:r w:rsidR="00CB5096" w:rsidRPr="00CB5096">
        <w:rPr>
          <w:snapToGrid w:val="0"/>
          <w:lang w:val="fr-FR"/>
        </w:rPr>
        <w:t xml:space="preserve">La COI a également appuyé la création de réseaux nationaux d’initiation à l’océan, </w:t>
      </w:r>
      <w:r w:rsidR="0002396B">
        <w:rPr>
          <w:snapToGrid w:val="0"/>
          <w:lang w:val="fr-FR"/>
        </w:rPr>
        <w:t>à l’instar du</w:t>
      </w:r>
      <w:r w:rsidR="00CB5096" w:rsidRPr="00CB5096">
        <w:rPr>
          <w:snapToGrid w:val="0"/>
          <w:lang w:val="fr-FR"/>
        </w:rPr>
        <w:t xml:space="preserve"> réseau italien </w:t>
      </w:r>
      <w:r w:rsidR="00CB5096" w:rsidRPr="00CB5096">
        <w:rPr>
          <w:i/>
          <w:snapToGrid w:val="0"/>
          <w:lang w:val="fr-FR"/>
        </w:rPr>
        <w:t>Ocean Literacy Italia</w:t>
      </w:r>
      <w:r w:rsidR="00CB5096" w:rsidRPr="00CB5096">
        <w:rPr>
          <w:snapToGrid w:val="0"/>
          <w:lang w:val="fr-FR"/>
        </w:rPr>
        <w:t>.</w:t>
      </w:r>
    </w:p>
    <w:p w:rsidR="00CB5096" w:rsidRDefault="00CB5096" w:rsidP="004A0312">
      <w:pPr>
        <w:pStyle w:val="a"/>
        <w:spacing w:line="240" w:lineRule="auto"/>
        <w:ind w:left="1134"/>
        <w:rPr>
          <w:snapToGrid w:val="0"/>
          <w:lang w:val="fr-FR"/>
        </w:rPr>
      </w:pPr>
      <w:r>
        <w:rPr>
          <w:snapToGrid w:val="0"/>
          <w:lang w:val="fr-FR"/>
        </w:rPr>
        <w:t>(ix)</w:t>
      </w:r>
      <w:r>
        <w:rPr>
          <w:snapToGrid w:val="0"/>
          <w:lang w:val="fr-FR"/>
        </w:rPr>
        <w:tab/>
      </w:r>
      <w:r w:rsidRPr="00CB5096">
        <w:rPr>
          <w:b/>
          <w:snapToGrid w:val="0"/>
          <w:lang w:val="fr-FR"/>
        </w:rPr>
        <w:t>Partenariat avec le Groupe Sky</w:t>
      </w:r>
      <w:r>
        <w:rPr>
          <w:snapToGrid w:val="0"/>
          <w:lang w:val="fr-FR"/>
        </w:rPr>
        <w:t xml:space="preserve">. </w:t>
      </w:r>
      <w:r w:rsidRPr="00CB5096">
        <w:rPr>
          <w:snapToGrid w:val="0"/>
          <w:lang w:val="fr-FR"/>
        </w:rPr>
        <w:t>La COI a noué un partenariat avec Sky et son programme « </w:t>
      </w:r>
      <w:r w:rsidRPr="00CB5096">
        <w:rPr>
          <w:i/>
          <w:snapToGrid w:val="0"/>
          <w:lang w:val="fr-FR"/>
        </w:rPr>
        <w:t>Ocean Rescue</w:t>
      </w:r>
      <w:r w:rsidRPr="00CB5096">
        <w:rPr>
          <w:snapToGrid w:val="0"/>
          <w:lang w:val="fr-FR"/>
        </w:rPr>
        <w:t xml:space="preserve"> » </w:t>
      </w:r>
      <w:r>
        <w:rPr>
          <w:snapToGrid w:val="0"/>
          <w:lang w:val="fr-FR"/>
        </w:rPr>
        <w:t>en vue de la production</w:t>
      </w:r>
      <w:r w:rsidRPr="00CB5096">
        <w:rPr>
          <w:snapToGrid w:val="0"/>
          <w:lang w:val="fr-FR"/>
        </w:rPr>
        <w:t xml:space="preserve"> de courts documentaires </w:t>
      </w:r>
      <w:r>
        <w:rPr>
          <w:snapToGrid w:val="0"/>
          <w:lang w:val="fr-FR"/>
        </w:rPr>
        <w:t>et de reportages spéciaux sur</w:t>
      </w:r>
      <w:r w:rsidRPr="00CB5096">
        <w:rPr>
          <w:snapToGrid w:val="0"/>
          <w:lang w:val="fr-FR"/>
        </w:rPr>
        <w:t xml:space="preserve"> l’initiation à l’océan</w:t>
      </w:r>
      <w:r>
        <w:rPr>
          <w:snapToGrid w:val="0"/>
          <w:lang w:val="fr-FR"/>
        </w:rPr>
        <w:t xml:space="preserve"> (</w:t>
      </w:r>
      <w:hyperlink r:id="rId18" w:history="1">
        <w:r w:rsidRPr="00CB5096">
          <w:rPr>
            <w:rStyle w:val="Hyperlink"/>
            <w:snapToGrid w:val="0"/>
            <w:lang w:val="fr-FR"/>
          </w:rPr>
          <w:t>https://tg24.sky.it/ambiente/sky-un-mare-da-salvare.html?intcmp=tg24_hottopics</w:t>
        </w:r>
      </w:hyperlink>
      <w:r>
        <w:rPr>
          <w:snapToGrid w:val="0"/>
          <w:lang w:val="fr-FR"/>
        </w:rPr>
        <w:t>)</w:t>
      </w:r>
      <w:r w:rsidRPr="00CB5096">
        <w:rPr>
          <w:snapToGrid w:val="0"/>
          <w:lang w:val="fr-FR"/>
        </w:rPr>
        <w:t>.</w:t>
      </w:r>
    </w:p>
    <w:p w:rsidR="00BB01BD" w:rsidRDefault="00CB5096" w:rsidP="004A0312">
      <w:pPr>
        <w:pStyle w:val="a"/>
        <w:spacing w:line="240" w:lineRule="auto"/>
        <w:ind w:left="1134"/>
        <w:rPr>
          <w:snapToGrid w:val="0"/>
          <w:lang w:val="fr-FR"/>
        </w:rPr>
      </w:pPr>
      <w:r>
        <w:rPr>
          <w:snapToGrid w:val="0"/>
          <w:lang w:val="fr-FR"/>
        </w:rPr>
        <w:t>(x)</w:t>
      </w:r>
      <w:r>
        <w:rPr>
          <w:snapToGrid w:val="0"/>
          <w:lang w:val="fr-FR"/>
        </w:rPr>
        <w:tab/>
      </w:r>
      <w:r w:rsidRPr="00CB5096">
        <w:rPr>
          <w:b/>
          <w:snapToGrid w:val="0"/>
          <w:lang w:val="fr-FR"/>
        </w:rPr>
        <w:t xml:space="preserve">Collaboration avec </w:t>
      </w:r>
      <w:r w:rsidR="00B12F65">
        <w:rPr>
          <w:b/>
          <w:snapToGrid w:val="0"/>
          <w:lang w:val="fr-FR"/>
        </w:rPr>
        <w:t>l’École de l’océan</w:t>
      </w:r>
      <w:r>
        <w:rPr>
          <w:snapToGrid w:val="0"/>
          <w:lang w:val="fr-FR"/>
        </w:rPr>
        <w:t xml:space="preserve">. </w:t>
      </w:r>
      <w:r w:rsidR="00B12F65">
        <w:rPr>
          <w:snapToGrid w:val="0"/>
          <w:lang w:val="fr-FR"/>
        </w:rPr>
        <w:t>L’</w:t>
      </w:r>
      <w:hyperlink r:id="rId19" w:history="1">
        <w:r w:rsidR="00B12F65" w:rsidRPr="00B12F65">
          <w:rPr>
            <w:rStyle w:val="Hyperlink"/>
            <w:snapToGrid w:val="0"/>
            <w:lang w:val="fr-FR"/>
          </w:rPr>
          <w:t>École de l’océan</w:t>
        </w:r>
      </w:hyperlink>
      <w:r>
        <w:rPr>
          <w:snapToGrid w:val="0"/>
          <w:lang w:val="fr-FR"/>
        </w:rPr>
        <w:t xml:space="preserve"> est une initiative conjointe de </w:t>
      </w:r>
      <w:r w:rsidRPr="00CB5096">
        <w:rPr>
          <w:snapToGrid w:val="0"/>
          <w:lang w:val="fr-FR"/>
        </w:rPr>
        <w:t>l’Université Dalhousie</w:t>
      </w:r>
      <w:r w:rsidR="00B12F65">
        <w:rPr>
          <w:snapToGrid w:val="0"/>
          <w:lang w:val="fr-FR"/>
        </w:rPr>
        <w:t>, de l’</w:t>
      </w:r>
      <w:r w:rsidR="00B12F65" w:rsidRPr="0002396B">
        <w:rPr>
          <w:i/>
          <w:snapToGrid w:val="0"/>
          <w:lang w:val="fr-FR"/>
        </w:rPr>
        <w:t>Ocean Frontier Institute</w:t>
      </w:r>
      <w:r w:rsidR="00B12F65">
        <w:rPr>
          <w:snapToGrid w:val="0"/>
          <w:lang w:val="fr-FR"/>
        </w:rPr>
        <w:t xml:space="preserve"> et de l’Office national du film du Canada (ONF) visant à développer l’initiation à l’océan. Il s’agit d’un programme éducatif scientifique révolutionnaire, novateur et à la pointe de la technologie qui </w:t>
      </w:r>
      <w:r w:rsidR="00842966">
        <w:rPr>
          <w:snapToGrid w:val="0"/>
          <w:lang w:val="fr-FR"/>
        </w:rPr>
        <w:t>emploie</w:t>
      </w:r>
      <w:r w:rsidR="00B12F65">
        <w:rPr>
          <w:snapToGrid w:val="0"/>
          <w:lang w:val="fr-FR"/>
        </w:rPr>
        <w:t xml:space="preserve"> les toutes dernières technologies immersives et une méthode d’apprentissage </w:t>
      </w:r>
      <w:r w:rsidR="00842966">
        <w:rPr>
          <w:snapToGrid w:val="0"/>
          <w:lang w:val="fr-FR"/>
        </w:rPr>
        <w:t xml:space="preserve">active fondée sur </w:t>
      </w:r>
      <w:r w:rsidR="00842966" w:rsidRPr="0002396B">
        <w:rPr>
          <w:snapToGrid w:val="0"/>
          <w:lang w:val="fr-FR"/>
        </w:rPr>
        <w:t>l’investigation</w:t>
      </w:r>
      <w:r w:rsidR="00842966">
        <w:rPr>
          <w:snapToGrid w:val="0"/>
          <w:lang w:val="fr-FR"/>
        </w:rPr>
        <w:t xml:space="preserve"> afin de sensibiliser à l’environnement et de faire évoluer les comportements. Dans le cadre de son partenariat avec la COI, l’École de l’océan a mis au point ses premiers contenus </w:t>
      </w:r>
      <w:r w:rsidR="00BB01BD">
        <w:rPr>
          <w:snapToGrid w:val="0"/>
          <w:lang w:val="fr-FR"/>
        </w:rPr>
        <w:t>internationaux</w:t>
      </w:r>
      <w:r w:rsidR="00842966">
        <w:rPr>
          <w:snapToGrid w:val="0"/>
          <w:lang w:val="fr-FR"/>
        </w:rPr>
        <w:t xml:space="preserve"> et s’est </w:t>
      </w:r>
      <w:r w:rsidR="00BB01BD">
        <w:rPr>
          <w:snapToGrid w:val="0"/>
          <w:lang w:val="fr-FR"/>
        </w:rPr>
        <w:t xml:space="preserve">efforcée </w:t>
      </w:r>
      <w:r w:rsidR="0002396B">
        <w:rPr>
          <w:snapToGrid w:val="0"/>
          <w:lang w:val="fr-FR"/>
        </w:rPr>
        <w:t>d’élargir l’accès au programme</w:t>
      </w:r>
      <w:r w:rsidR="00BB01BD">
        <w:rPr>
          <w:snapToGrid w:val="0"/>
          <w:lang w:val="fr-FR"/>
        </w:rPr>
        <w:t xml:space="preserve"> et d’en accroître l’impact à l’échelle internationale.</w:t>
      </w:r>
    </w:p>
    <w:p w:rsidR="00EE6110" w:rsidRDefault="00BB01BD" w:rsidP="005A1F71">
      <w:pPr>
        <w:pStyle w:val="a"/>
        <w:spacing w:after="220" w:line="240" w:lineRule="auto"/>
        <w:ind w:left="1134"/>
        <w:rPr>
          <w:snapToGrid w:val="0"/>
          <w:lang w:val="fr-FR"/>
        </w:rPr>
      </w:pPr>
      <w:r>
        <w:rPr>
          <w:snapToGrid w:val="0"/>
          <w:lang w:val="fr-FR"/>
        </w:rPr>
        <w:lastRenderedPageBreak/>
        <w:t>(xi)</w:t>
      </w:r>
      <w:r>
        <w:rPr>
          <w:snapToGrid w:val="0"/>
          <w:lang w:val="fr-FR"/>
        </w:rPr>
        <w:tab/>
      </w:r>
      <w:r w:rsidRPr="00BB01BD">
        <w:rPr>
          <w:b/>
          <w:snapToGrid w:val="0"/>
          <w:lang w:val="fr-FR"/>
        </w:rPr>
        <w:t>Organisation du premier atelier de formation international dans le cadre de l’École de l’océan</w:t>
      </w:r>
      <w:r>
        <w:rPr>
          <w:snapToGrid w:val="0"/>
          <w:lang w:val="fr-FR"/>
        </w:rPr>
        <w:t>. L’Atelier de formation des enseignants organisé par l’École de l’océan à San José (Costa Rica) du 2 au 4</w:t>
      </w:r>
      <w:r w:rsidR="0010763A">
        <w:rPr>
          <w:snapToGrid w:val="0"/>
          <w:lang w:val="fr-FR"/>
        </w:rPr>
        <w:t> </w:t>
      </w:r>
      <w:r>
        <w:rPr>
          <w:snapToGrid w:val="0"/>
          <w:lang w:val="fr-FR"/>
        </w:rPr>
        <w:t xml:space="preserve">décembre 2018 a constitué une première étape </w:t>
      </w:r>
      <w:r w:rsidR="00183600">
        <w:rPr>
          <w:snapToGrid w:val="0"/>
          <w:lang w:val="fr-FR"/>
        </w:rPr>
        <w:t>pour</w:t>
      </w:r>
      <w:r>
        <w:rPr>
          <w:snapToGrid w:val="0"/>
          <w:lang w:val="fr-FR"/>
        </w:rPr>
        <w:t xml:space="preserve"> étudier la possibilité d’adapter le programme et les technologies de l’École de l’océan </w:t>
      </w:r>
      <w:r w:rsidR="00617516">
        <w:rPr>
          <w:snapToGrid w:val="0"/>
          <w:lang w:val="fr-FR"/>
        </w:rPr>
        <w:t xml:space="preserve">à différents systèmes éducatifs ainsi qu’à divers contextes géographiques et culturels. </w:t>
      </w:r>
      <w:r w:rsidR="00AB495B">
        <w:rPr>
          <w:snapToGrid w:val="0"/>
          <w:lang w:val="fr-FR"/>
        </w:rPr>
        <w:t xml:space="preserve">L’aire géographique et le sujet retenus pour le module présenté lors de cet atelier étaient le </w:t>
      </w:r>
      <w:r w:rsidR="00AB495B" w:rsidRPr="00183600">
        <w:rPr>
          <w:snapToGrid w:val="0"/>
          <w:lang w:val="fr-FR"/>
        </w:rPr>
        <w:t>mouvement des espèces</w:t>
      </w:r>
      <w:r w:rsidR="00AB495B">
        <w:rPr>
          <w:snapToGrid w:val="0"/>
          <w:lang w:val="fr-FR"/>
        </w:rPr>
        <w:t xml:space="preserve"> de l’Î</w:t>
      </w:r>
      <w:r w:rsidR="00AB495B" w:rsidRPr="00AB495B">
        <w:rPr>
          <w:snapToGrid w:val="0"/>
          <w:lang w:val="fr-FR"/>
        </w:rPr>
        <w:t>le Cocos</w:t>
      </w:r>
      <w:r w:rsidR="00AB495B">
        <w:rPr>
          <w:snapToGrid w:val="0"/>
          <w:lang w:val="fr-FR"/>
        </w:rPr>
        <w:t xml:space="preserve">. Une vingtaine d’enseignants </w:t>
      </w:r>
      <w:r w:rsidR="00183600">
        <w:rPr>
          <w:snapToGrid w:val="0"/>
          <w:lang w:val="fr-FR"/>
        </w:rPr>
        <w:t>provenant</w:t>
      </w:r>
      <w:r w:rsidR="00AB495B">
        <w:rPr>
          <w:snapToGrid w:val="0"/>
          <w:lang w:val="fr-FR"/>
        </w:rPr>
        <w:t xml:space="preserve"> de </w:t>
      </w:r>
      <w:r w:rsidR="00183600">
        <w:rPr>
          <w:snapToGrid w:val="0"/>
          <w:lang w:val="fr-FR"/>
        </w:rPr>
        <w:t>certains</w:t>
      </w:r>
      <w:r w:rsidR="00AB495B">
        <w:rPr>
          <w:snapToGrid w:val="0"/>
          <w:lang w:val="fr-FR"/>
        </w:rPr>
        <w:t xml:space="preserve"> pays d’Amérique latine et des Caraïbes ont </w:t>
      </w:r>
      <w:r w:rsidR="00EE6110">
        <w:rPr>
          <w:snapToGrid w:val="0"/>
          <w:lang w:val="fr-FR"/>
        </w:rPr>
        <w:t>ainsi</w:t>
      </w:r>
      <w:r w:rsidR="00AB495B">
        <w:rPr>
          <w:snapToGrid w:val="0"/>
          <w:lang w:val="fr-FR"/>
        </w:rPr>
        <w:t xml:space="preserve"> été </w:t>
      </w:r>
      <w:r w:rsidR="00EE6110">
        <w:rPr>
          <w:snapToGrid w:val="0"/>
          <w:lang w:val="fr-FR"/>
        </w:rPr>
        <w:t>sélectionnés</w:t>
      </w:r>
      <w:r w:rsidR="00AB495B">
        <w:rPr>
          <w:snapToGrid w:val="0"/>
          <w:lang w:val="fr-FR"/>
        </w:rPr>
        <w:t xml:space="preserve"> pour</w:t>
      </w:r>
      <w:r w:rsidR="00EE6110">
        <w:rPr>
          <w:snapToGrid w:val="0"/>
          <w:lang w:val="fr-FR"/>
        </w:rPr>
        <w:t xml:space="preserve"> y prendre part : </w:t>
      </w:r>
      <w:r w:rsidR="00EE6110" w:rsidRPr="00EE6110">
        <w:rPr>
          <w:snapToGrid w:val="0"/>
          <w:lang w:val="fr-FR"/>
        </w:rPr>
        <w:t>Chili, Colombie, Costa Rica, Équateur, Jamaïq</w:t>
      </w:r>
      <w:r w:rsidR="00EE6110">
        <w:rPr>
          <w:snapToGrid w:val="0"/>
          <w:lang w:val="fr-FR"/>
        </w:rPr>
        <w:t>ue, Panama, Pérou, Sainte-Lucie</w:t>
      </w:r>
      <w:r w:rsidR="00EE6110" w:rsidRPr="00EE6110">
        <w:rPr>
          <w:snapToGrid w:val="0"/>
          <w:lang w:val="fr-FR"/>
        </w:rPr>
        <w:t xml:space="preserve"> et Trinité-et-Tobago</w:t>
      </w:r>
      <w:r w:rsidR="00EE6110">
        <w:rPr>
          <w:snapToGrid w:val="0"/>
          <w:lang w:val="fr-FR"/>
        </w:rPr>
        <w:t>.</w:t>
      </w:r>
    </w:p>
    <w:p w:rsidR="00BF3908" w:rsidRDefault="00EE6110" w:rsidP="005A1F71">
      <w:pPr>
        <w:pStyle w:val="a"/>
        <w:spacing w:after="220" w:line="240" w:lineRule="auto"/>
        <w:ind w:left="1134"/>
        <w:rPr>
          <w:bCs/>
          <w:snapToGrid w:val="0"/>
          <w:lang w:val="fr-FR"/>
        </w:rPr>
      </w:pPr>
      <w:r>
        <w:rPr>
          <w:snapToGrid w:val="0"/>
          <w:lang w:val="fr-FR"/>
        </w:rPr>
        <w:t>(xii)</w:t>
      </w:r>
      <w:r>
        <w:rPr>
          <w:snapToGrid w:val="0"/>
          <w:lang w:val="fr-FR"/>
        </w:rPr>
        <w:tab/>
      </w:r>
      <w:r w:rsidRPr="00EE6110">
        <w:rPr>
          <w:b/>
          <w:snapToGrid w:val="0"/>
          <w:lang w:val="fr-FR"/>
        </w:rPr>
        <w:t>Atelier d’initiation à l’océan pour des processus multipartites dans la gouvernance de l’océan</w:t>
      </w:r>
      <w:r>
        <w:rPr>
          <w:snapToGrid w:val="0"/>
          <w:lang w:val="fr-FR"/>
        </w:rPr>
        <w:t xml:space="preserve">. Quinze professionnels du monde entier, dont des experts de l’initiation à l’océan, des journalistes, des chercheurs, des membres de fondations, des spécialistes de l’aménagement de l’espace marin, des éducateurs, ainsi que des représentants d’ONG et des pouvoirs publics ont été réunis au Siège de l’UNESCO, à Paris, </w:t>
      </w:r>
      <w:r w:rsidR="006F25BC">
        <w:rPr>
          <w:snapToGrid w:val="0"/>
          <w:lang w:val="fr-FR"/>
        </w:rPr>
        <w:t>dans le cadre du</w:t>
      </w:r>
      <w:r>
        <w:rPr>
          <w:snapToGrid w:val="0"/>
          <w:lang w:val="fr-FR"/>
        </w:rPr>
        <w:t xml:space="preserve"> premier </w:t>
      </w:r>
      <w:r w:rsidRPr="00EE6110">
        <w:rPr>
          <w:snapToGrid w:val="0"/>
          <w:lang w:val="fr-FR"/>
        </w:rPr>
        <w:t>Atelier d’initiation à l’océan pour des processus multipartites dans la gouvernance de l’océan</w:t>
      </w:r>
      <w:r w:rsidR="006F25BC">
        <w:rPr>
          <w:snapToGrid w:val="0"/>
          <w:lang w:val="fr-FR"/>
        </w:rPr>
        <w:t xml:space="preserve">, tenu en novembre 2018. </w:t>
      </w:r>
      <w:r w:rsidR="00A717A3">
        <w:rPr>
          <w:snapToGrid w:val="0"/>
          <w:lang w:val="fr-FR"/>
        </w:rPr>
        <w:t xml:space="preserve">Cet atelier avait pour but </w:t>
      </w:r>
      <w:r w:rsidR="00B405B4">
        <w:rPr>
          <w:snapToGrid w:val="0"/>
          <w:lang w:val="fr-FR"/>
        </w:rPr>
        <w:t>d’étudier</w:t>
      </w:r>
      <w:r w:rsidR="00A717A3">
        <w:rPr>
          <w:snapToGrid w:val="0"/>
          <w:lang w:val="fr-FR"/>
        </w:rPr>
        <w:t xml:space="preserve"> les moyens les plus efficaces de diffuser les connaissances sur l’océan auprès de différents publics, ainsi que d’échanger les bonnes pratiques et les points de vue novateurs sur des enjeux tels que la m</w:t>
      </w:r>
      <w:r w:rsidR="00351699">
        <w:rPr>
          <w:snapToGrid w:val="0"/>
          <w:lang w:val="fr-FR"/>
        </w:rPr>
        <w:t>ise en pratique de</w:t>
      </w:r>
      <w:r w:rsidR="00B405B4">
        <w:rPr>
          <w:snapToGrid w:val="0"/>
          <w:lang w:val="fr-FR"/>
        </w:rPr>
        <w:t xml:space="preserve"> ces</w:t>
      </w:r>
      <w:r w:rsidR="00A717A3">
        <w:rPr>
          <w:snapToGrid w:val="0"/>
          <w:lang w:val="fr-FR"/>
        </w:rPr>
        <w:t xml:space="preserve"> connaissances</w:t>
      </w:r>
      <w:r w:rsidR="00B405B4">
        <w:rPr>
          <w:snapToGrid w:val="0"/>
          <w:lang w:val="fr-FR"/>
        </w:rPr>
        <w:t>,</w:t>
      </w:r>
      <w:r w:rsidR="00A717A3">
        <w:rPr>
          <w:snapToGrid w:val="0"/>
          <w:lang w:val="fr-FR"/>
        </w:rPr>
        <w:t xml:space="preserve"> </w:t>
      </w:r>
      <w:r w:rsidR="00183600">
        <w:rPr>
          <w:snapToGrid w:val="0"/>
          <w:lang w:val="fr-FR"/>
        </w:rPr>
        <w:t xml:space="preserve">grâce à des </w:t>
      </w:r>
      <w:r w:rsidR="00A717A3">
        <w:rPr>
          <w:snapToGrid w:val="0"/>
          <w:lang w:val="fr-FR"/>
        </w:rPr>
        <w:t>outils d’initiation à l’océan créatifs et interactifs.</w:t>
      </w:r>
      <w:r w:rsidR="00351699">
        <w:rPr>
          <w:snapToGrid w:val="0"/>
          <w:lang w:val="fr-FR"/>
        </w:rPr>
        <w:t xml:space="preserve"> Cette manifestation a constitué une passerelle entre des initiatives telles que l’« </w:t>
      </w:r>
      <w:r w:rsidR="00351699" w:rsidRPr="00351699">
        <w:rPr>
          <w:bCs/>
          <w:snapToGrid w:val="0"/>
          <w:lang w:val="fr-FR"/>
        </w:rPr>
        <w:t>Accès aux connaissances de l’océan pour tous</w:t>
      </w:r>
      <w:r w:rsidR="00351699">
        <w:rPr>
          <w:bCs/>
          <w:snapToGrid w:val="0"/>
          <w:lang w:val="fr-FR"/>
        </w:rPr>
        <w:t xml:space="preserve"> » et le </w:t>
      </w:r>
      <w:r w:rsidR="00351699" w:rsidRPr="00351699">
        <w:rPr>
          <w:bCs/>
          <w:snapToGrid w:val="0"/>
          <w:lang w:val="fr-FR"/>
        </w:rPr>
        <w:t>projet mondial sur l’aménagement de l’espace marin</w:t>
      </w:r>
      <w:r w:rsidR="00351699">
        <w:rPr>
          <w:bCs/>
          <w:snapToGrid w:val="0"/>
          <w:lang w:val="fr-FR"/>
        </w:rPr>
        <w:t xml:space="preserve"> conjointement mené par la COI de l’UNESCO et la Commission européenne afin de promouvoir un processus transfrontière d’aménagement de l’espace marin/maritime.</w:t>
      </w:r>
    </w:p>
    <w:p w:rsidR="006743C2" w:rsidRDefault="00BF3908" w:rsidP="004A0312">
      <w:pPr>
        <w:pStyle w:val="a"/>
        <w:spacing w:line="240" w:lineRule="auto"/>
        <w:ind w:left="1134"/>
        <w:rPr>
          <w:bCs/>
          <w:snapToGrid w:val="0"/>
          <w:lang w:val="fr-FR"/>
        </w:rPr>
      </w:pPr>
      <w:r>
        <w:rPr>
          <w:bCs/>
          <w:snapToGrid w:val="0"/>
          <w:lang w:val="fr-FR"/>
        </w:rPr>
        <w:t>(xiii)</w:t>
      </w:r>
      <w:r>
        <w:rPr>
          <w:bCs/>
          <w:snapToGrid w:val="0"/>
          <w:lang w:val="fr-FR"/>
        </w:rPr>
        <w:tab/>
      </w:r>
      <w:r w:rsidRPr="00BF3908">
        <w:rPr>
          <w:b/>
          <w:bCs/>
          <w:snapToGrid w:val="0"/>
          <w:lang w:val="fr-FR"/>
        </w:rPr>
        <w:t>Collaboration avec les autres secteurs de l’UNESCO</w:t>
      </w:r>
      <w:r>
        <w:rPr>
          <w:bCs/>
          <w:snapToGrid w:val="0"/>
          <w:lang w:val="fr-FR"/>
        </w:rPr>
        <w:t xml:space="preserve">. </w:t>
      </w:r>
      <w:r w:rsidRPr="00BF3908">
        <w:rPr>
          <w:bCs/>
          <w:snapToGrid w:val="0"/>
          <w:lang w:val="fr-FR"/>
        </w:rPr>
        <w:t xml:space="preserve">Depuis 2014, la COI fait partie du Programme d’action global pour l’éducation en vue du développement durable </w:t>
      </w:r>
      <w:r>
        <w:rPr>
          <w:bCs/>
          <w:snapToGrid w:val="0"/>
          <w:lang w:val="fr-FR"/>
        </w:rPr>
        <w:t>porté</w:t>
      </w:r>
      <w:r w:rsidRPr="00BF3908">
        <w:rPr>
          <w:bCs/>
          <w:snapToGrid w:val="0"/>
          <w:lang w:val="fr-FR"/>
        </w:rPr>
        <w:t xml:space="preserve"> par le Secteur de l’éducation de l’UNESCO. Elle participe également à la Stratégie de l’UNESCO pour la jeunesse </w:t>
      </w:r>
      <w:r>
        <w:rPr>
          <w:bCs/>
          <w:snapToGrid w:val="0"/>
          <w:lang w:val="fr-FR"/>
        </w:rPr>
        <w:t>coordonnée</w:t>
      </w:r>
      <w:r w:rsidRPr="00BF3908">
        <w:rPr>
          <w:bCs/>
          <w:snapToGrid w:val="0"/>
          <w:lang w:val="fr-FR"/>
        </w:rPr>
        <w:t xml:space="preserve"> par le Secteur des sciences sociales et humaines</w:t>
      </w:r>
      <w:r>
        <w:rPr>
          <w:bCs/>
          <w:snapToGrid w:val="0"/>
          <w:lang w:val="fr-FR"/>
        </w:rPr>
        <w:t>. Enfin, elle collabore</w:t>
      </w:r>
      <w:r w:rsidRPr="00BF3908">
        <w:rPr>
          <w:bCs/>
          <w:snapToGrid w:val="0"/>
          <w:lang w:val="fr-FR"/>
        </w:rPr>
        <w:t xml:space="preserve"> avec le Secteur de la communication et de l’information afin d’élaborer des outils </w:t>
      </w:r>
      <w:r>
        <w:rPr>
          <w:bCs/>
          <w:snapToGrid w:val="0"/>
          <w:lang w:val="fr-FR"/>
        </w:rPr>
        <w:t>novateurs</w:t>
      </w:r>
      <w:r w:rsidRPr="00BF3908">
        <w:rPr>
          <w:bCs/>
          <w:snapToGrid w:val="0"/>
          <w:lang w:val="fr-FR"/>
        </w:rPr>
        <w:t xml:space="preserve"> pour l’enseignement des sciences océaniques.</w:t>
      </w:r>
    </w:p>
    <w:p w:rsidR="006743C2" w:rsidRPr="006743C2" w:rsidRDefault="006743C2" w:rsidP="005A1F71">
      <w:pPr>
        <w:keepNext/>
        <w:keepLines/>
        <w:tabs>
          <w:tab w:val="left" w:pos="567"/>
        </w:tabs>
        <w:snapToGrid w:val="0"/>
        <w:spacing w:after="220" w:line="240" w:lineRule="auto"/>
        <w:outlineLvl w:val="3"/>
        <w:rPr>
          <w:rFonts w:eastAsia="Times New Roman" w:cs="Times New Roman"/>
          <w:b/>
          <w:bCs/>
          <w:snapToGrid w:val="0"/>
          <w:szCs w:val="24"/>
          <w:lang w:val="fr-FR" w:eastAsia="en-US"/>
        </w:rPr>
      </w:pPr>
      <w:r w:rsidRPr="006743C2">
        <w:rPr>
          <w:rFonts w:eastAsia="Times New Roman" w:cs="Times New Roman"/>
          <w:b/>
          <w:bCs/>
          <w:snapToGrid w:val="0"/>
          <w:szCs w:val="24"/>
          <w:lang w:val="fr-FR" w:eastAsia="en-US"/>
        </w:rPr>
        <w:t>Plan d’action pour l’initiation à l’océan</w:t>
      </w:r>
    </w:p>
    <w:p w:rsidR="00F51D40" w:rsidRDefault="006743C2" w:rsidP="00A80569">
      <w:pPr>
        <w:tabs>
          <w:tab w:val="left" w:pos="567"/>
        </w:tabs>
        <w:snapToGrid w:val="0"/>
        <w:spacing w:after="240" w:line="240" w:lineRule="auto"/>
        <w:jc w:val="both"/>
        <w:rPr>
          <w:rFonts w:eastAsia="SimSun" w:cs="Times New Roman"/>
          <w:snapToGrid w:val="0"/>
          <w:szCs w:val="24"/>
          <w:lang w:val="fr-FR"/>
        </w:rPr>
      </w:pPr>
      <w:r w:rsidRPr="006743C2">
        <w:rPr>
          <w:rFonts w:eastAsia="SimSun" w:cs="Times New Roman"/>
          <w:snapToGrid w:val="0"/>
          <w:szCs w:val="24"/>
          <w:lang w:val="fr-FR"/>
        </w:rPr>
        <w:t>9.</w:t>
      </w:r>
      <w:r w:rsidRPr="006743C2">
        <w:rPr>
          <w:rFonts w:eastAsia="SimSun" w:cs="Times New Roman"/>
          <w:snapToGrid w:val="0"/>
          <w:szCs w:val="24"/>
          <w:lang w:val="fr-FR"/>
        </w:rPr>
        <w:tab/>
        <w:t>Compte tenu</w:t>
      </w:r>
      <w:r>
        <w:rPr>
          <w:rFonts w:eastAsia="SimSun" w:cs="Times New Roman"/>
          <w:snapToGrid w:val="0"/>
          <w:szCs w:val="24"/>
          <w:lang w:val="fr-FR"/>
        </w:rPr>
        <w:t xml:space="preserve"> du </w:t>
      </w:r>
      <w:r w:rsidR="00F51D40">
        <w:rPr>
          <w:rFonts w:eastAsia="SimSun" w:cs="Times New Roman"/>
          <w:snapToGrid w:val="0"/>
          <w:szCs w:val="24"/>
          <w:lang w:val="fr-FR"/>
        </w:rPr>
        <w:t>Programme de développement durable à l’horizon 2030</w:t>
      </w:r>
      <w:r>
        <w:rPr>
          <w:rFonts w:eastAsia="SimSun" w:cs="Times New Roman"/>
          <w:snapToGrid w:val="0"/>
          <w:szCs w:val="24"/>
          <w:lang w:val="fr-FR"/>
        </w:rPr>
        <w:t xml:space="preserve">, des priorités de la COI, et du plan scientifique de la </w:t>
      </w:r>
      <w:r w:rsidRPr="006743C2">
        <w:rPr>
          <w:rFonts w:eastAsia="SimSun" w:cs="Times New Roman"/>
          <w:snapToGrid w:val="0"/>
          <w:szCs w:val="24"/>
          <w:lang w:val="fr-FR"/>
        </w:rPr>
        <w:t>Décennie des Nations Unies pour les sciences océaniques au service du développement durable</w:t>
      </w:r>
      <w:r>
        <w:rPr>
          <w:rFonts w:eastAsia="SimSun" w:cs="Times New Roman"/>
          <w:snapToGrid w:val="0"/>
          <w:szCs w:val="24"/>
          <w:lang w:val="fr-FR"/>
        </w:rPr>
        <w:t xml:space="preserve">, le </w:t>
      </w:r>
      <w:r w:rsidR="00364E67">
        <w:rPr>
          <w:rFonts w:eastAsia="SimSun" w:cs="Times New Roman"/>
          <w:snapToGrid w:val="0"/>
          <w:szCs w:val="24"/>
          <w:lang w:val="fr-FR"/>
        </w:rPr>
        <w:t>P</w:t>
      </w:r>
      <w:r>
        <w:rPr>
          <w:rFonts w:eastAsia="SimSun" w:cs="Times New Roman"/>
          <w:snapToGrid w:val="0"/>
          <w:szCs w:val="24"/>
          <w:lang w:val="fr-FR"/>
        </w:rPr>
        <w:t xml:space="preserve">lan d’action pour l’initiation à l’océan proposé ci-après </w:t>
      </w:r>
      <w:r w:rsidR="00F51D40">
        <w:rPr>
          <w:rFonts w:eastAsia="SimSun" w:cs="Times New Roman"/>
          <w:snapToGrid w:val="0"/>
          <w:szCs w:val="24"/>
          <w:lang w:val="fr-FR"/>
        </w:rPr>
        <w:t>a été établi à partir des discussions tenues lors de divers ateliers et conférences :</w:t>
      </w:r>
      <w:r w:rsidR="00A80569">
        <w:rPr>
          <w:rFonts w:eastAsia="SimSun" w:cs="Times New Roman"/>
          <w:snapToGrid w:val="0"/>
          <w:szCs w:val="24"/>
          <w:lang w:val="fr-FR"/>
        </w:rPr>
        <w:t xml:space="preserve"> </w:t>
      </w:r>
    </w:p>
    <w:p w:rsidR="00CB5096" w:rsidRPr="00F51D40" w:rsidRDefault="00F51D40" w:rsidP="00A80569">
      <w:pPr>
        <w:widowControl w:val="0"/>
        <w:tabs>
          <w:tab w:val="left" w:pos="567"/>
        </w:tabs>
        <w:snapToGrid w:val="0"/>
        <w:spacing w:line="240" w:lineRule="auto"/>
        <w:jc w:val="center"/>
        <w:rPr>
          <w:rFonts w:eastAsia="SimSun" w:cs="Times New Roman"/>
          <w:b/>
          <w:snapToGrid w:val="0"/>
          <w:szCs w:val="24"/>
          <w:lang w:val="fr-FR"/>
        </w:rPr>
      </w:pPr>
      <w:r w:rsidRPr="00F51D40">
        <w:rPr>
          <w:rFonts w:eastAsia="SimSun" w:cs="Times New Roman"/>
          <w:b/>
          <w:snapToGrid w:val="0"/>
          <w:szCs w:val="24"/>
          <w:lang w:val="fr-FR"/>
        </w:rPr>
        <w:t>Énoncé de vision</w:t>
      </w:r>
    </w:p>
    <w:p w:rsidR="00F51D40" w:rsidRDefault="00F51D40" w:rsidP="0010763A">
      <w:pPr>
        <w:widowControl w:val="0"/>
        <w:tabs>
          <w:tab w:val="left" w:pos="567"/>
        </w:tabs>
        <w:snapToGrid w:val="0"/>
        <w:spacing w:after="240" w:line="240" w:lineRule="auto"/>
        <w:jc w:val="center"/>
        <w:rPr>
          <w:rFonts w:eastAsia="SimSun" w:cs="Times New Roman"/>
          <w:i/>
          <w:snapToGrid w:val="0"/>
          <w:szCs w:val="24"/>
          <w:lang w:val="fr-FR"/>
        </w:rPr>
      </w:pPr>
      <w:r w:rsidRPr="009C7C63">
        <w:rPr>
          <w:rFonts w:eastAsia="SimSun" w:cs="Times New Roman"/>
          <w:i/>
          <w:snapToGrid w:val="0"/>
          <w:szCs w:val="24"/>
          <w:lang w:val="fr-FR"/>
        </w:rPr>
        <w:t>Par la collaboration internationale, l’échange de bonnes pratiques et la création de partenariats, la COI aide ses États membres à renforcer leur action en matière d’initiation à l’océan, de sorte que la connaissance de l’océan soit pleinement mise à profit pour assurer la viabilité de l’océan.</w:t>
      </w:r>
    </w:p>
    <w:tbl>
      <w:tblPr>
        <w:tblStyle w:val="TableGrid"/>
        <w:tblW w:w="0" w:type="auto"/>
        <w:tblLook w:val="04A0" w:firstRow="1" w:lastRow="0" w:firstColumn="1" w:lastColumn="0" w:noHBand="0" w:noVBand="1"/>
      </w:tblPr>
      <w:tblGrid>
        <w:gridCol w:w="3209"/>
        <w:gridCol w:w="3209"/>
        <w:gridCol w:w="3210"/>
      </w:tblGrid>
      <w:tr w:rsidR="008B59F1" w:rsidTr="00590D03">
        <w:tc>
          <w:tcPr>
            <w:tcW w:w="3209" w:type="dxa"/>
            <w:shd w:val="clear" w:color="auto" w:fill="E7E6E6" w:themeFill="background2"/>
          </w:tcPr>
          <w:p w:rsidR="008B59F1" w:rsidRPr="00590D03" w:rsidRDefault="00590D03" w:rsidP="0010763A">
            <w:pPr>
              <w:widowControl w:val="0"/>
              <w:tabs>
                <w:tab w:val="left" w:pos="567"/>
              </w:tabs>
              <w:snapToGrid w:val="0"/>
              <w:spacing w:before="120" w:after="120" w:line="240" w:lineRule="auto"/>
              <w:jc w:val="center"/>
              <w:rPr>
                <w:rFonts w:eastAsia="SimSun" w:cs="Times New Roman"/>
                <w:b/>
                <w:snapToGrid w:val="0"/>
                <w:szCs w:val="24"/>
                <w:lang w:val="fr-FR"/>
              </w:rPr>
            </w:pPr>
            <w:r>
              <w:rPr>
                <w:rFonts w:eastAsia="SimSun" w:cs="Times New Roman"/>
                <w:b/>
                <w:snapToGrid w:val="0"/>
                <w:szCs w:val="24"/>
                <w:lang w:val="fr-FR"/>
              </w:rPr>
              <w:t>Produit</w:t>
            </w:r>
          </w:p>
        </w:tc>
        <w:tc>
          <w:tcPr>
            <w:tcW w:w="3209" w:type="dxa"/>
            <w:shd w:val="clear" w:color="auto" w:fill="E7E6E6" w:themeFill="background2"/>
          </w:tcPr>
          <w:p w:rsidR="008B59F1" w:rsidRPr="00590D03" w:rsidRDefault="00590D03" w:rsidP="0010763A">
            <w:pPr>
              <w:widowControl w:val="0"/>
              <w:tabs>
                <w:tab w:val="left" w:pos="567"/>
              </w:tabs>
              <w:snapToGrid w:val="0"/>
              <w:spacing w:before="120" w:after="120" w:line="240" w:lineRule="auto"/>
              <w:jc w:val="center"/>
              <w:rPr>
                <w:rFonts w:eastAsia="SimSun" w:cs="Times New Roman"/>
                <w:b/>
                <w:snapToGrid w:val="0"/>
                <w:szCs w:val="24"/>
                <w:lang w:val="fr-FR"/>
              </w:rPr>
            </w:pPr>
            <w:r>
              <w:rPr>
                <w:rFonts w:eastAsia="SimSun" w:cs="Times New Roman"/>
                <w:b/>
                <w:snapToGrid w:val="0"/>
                <w:szCs w:val="24"/>
                <w:lang w:val="fr-FR"/>
              </w:rPr>
              <w:t>Activité</w:t>
            </w:r>
          </w:p>
        </w:tc>
        <w:tc>
          <w:tcPr>
            <w:tcW w:w="3210" w:type="dxa"/>
            <w:shd w:val="clear" w:color="auto" w:fill="E7E6E6" w:themeFill="background2"/>
          </w:tcPr>
          <w:p w:rsidR="008B59F1" w:rsidRPr="00590D03" w:rsidRDefault="00590D03" w:rsidP="0010763A">
            <w:pPr>
              <w:widowControl w:val="0"/>
              <w:tabs>
                <w:tab w:val="left" w:pos="567"/>
              </w:tabs>
              <w:snapToGrid w:val="0"/>
              <w:spacing w:before="120" w:after="120" w:line="240" w:lineRule="auto"/>
              <w:jc w:val="center"/>
              <w:rPr>
                <w:rFonts w:eastAsia="SimSun" w:cs="Times New Roman"/>
                <w:b/>
                <w:snapToGrid w:val="0"/>
                <w:szCs w:val="24"/>
                <w:lang w:val="fr-FR"/>
              </w:rPr>
            </w:pPr>
            <w:r>
              <w:rPr>
                <w:rFonts w:eastAsia="SimSun" w:cs="Times New Roman"/>
                <w:b/>
                <w:snapToGrid w:val="0"/>
                <w:szCs w:val="24"/>
                <w:lang w:val="fr-FR"/>
              </w:rPr>
              <w:t>Action</w:t>
            </w:r>
          </w:p>
        </w:tc>
      </w:tr>
      <w:tr w:rsidR="0010763A" w:rsidTr="003C0B15">
        <w:tc>
          <w:tcPr>
            <w:tcW w:w="3209" w:type="dxa"/>
            <w:vMerge w:val="restart"/>
          </w:tcPr>
          <w:p w:rsidR="0010763A" w:rsidRPr="00590D03" w:rsidRDefault="0010763A" w:rsidP="0010763A">
            <w:pPr>
              <w:widowControl w:val="0"/>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t>1.</w:t>
            </w:r>
            <w:r>
              <w:rPr>
                <w:rFonts w:eastAsia="SimSun" w:cs="Times New Roman"/>
                <w:b/>
                <w:snapToGrid w:val="0"/>
                <w:szCs w:val="24"/>
                <w:lang w:val="fr-FR"/>
              </w:rPr>
              <w:tab/>
              <w:t>Intégration de l’initiation à l’océan</w:t>
            </w:r>
            <w:r w:rsidRPr="00590D03">
              <w:rPr>
                <w:color w:val="000000"/>
                <w:sz w:val="27"/>
                <w:szCs w:val="27"/>
                <w:lang w:val="fr-FR"/>
              </w:rPr>
              <w:t xml:space="preserve"> </w:t>
            </w:r>
            <w:r w:rsidRPr="00590D03">
              <w:rPr>
                <w:rFonts w:eastAsia="SimSun" w:cs="Times New Roman"/>
                <w:b/>
                <w:snapToGrid w:val="0"/>
                <w:szCs w:val="24"/>
                <w:lang w:val="fr-FR"/>
              </w:rPr>
              <w:t>dans les programmes des systèmes éducatifs formels à travers le monde</w:t>
            </w:r>
          </w:p>
        </w:tc>
        <w:tc>
          <w:tcPr>
            <w:tcW w:w="3209" w:type="dxa"/>
          </w:tcPr>
          <w:p w:rsidR="0010763A" w:rsidRPr="00590D03" w:rsidRDefault="0010763A" w:rsidP="0010763A">
            <w:pPr>
              <w:widowControl w:val="0"/>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1.1</w:t>
            </w:r>
            <w:r>
              <w:rPr>
                <w:rFonts w:eastAsia="SimSun" w:cs="Times New Roman"/>
                <w:snapToGrid w:val="0"/>
                <w:szCs w:val="24"/>
                <w:lang w:val="fr-FR"/>
              </w:rPr>
              <w:tab/>
              <w:t>Stratégie nationale d’initiation à l’océan</w:t>
            </w:r>
          </w:p>
        </w:tc>
        <w:tc>
          <w:tcPr>
            <w:tcW w:w="3210" w:type="dxa"/>
          </w:tcPr>
          <w:p w:rsidR="0010763A" w:rsidRDefault="0010763A" w:rsidP="005A1F71">
            <w:pPr>
              <w:widowControl w:val="0"/>
              <w:tabs>
                <w:tab w:val="left" w:pos="567"/>
              </w:tabs>
              <w:snapToGrid w:val="0"/>
              <w:spacing w:after="120" w:line="240" w:lineRule="auto"/>
              <w:ind w:left="-14" w:right="-116"/>
              <w:rPr>
                <w:rFonts w:eastAsia="SimSun" w:cs="Times New Roman"/>
                <w:snapToGrid w:val="0"/>
                <w:szCs w:val="24"/>
                <w:lang w:val="fr-FR"/>
              </w:rPr>
            </w:pPr>
            <w:r>
              <w:rPr>
                <w:rFonts w:eastAsia="SimSun" w:cs="Times New Roman"/>
                <w:snapToGrid w:val="0"/>
                <w:szCs w:val="24"/>
                <w:lang w:val="fr-FR"/>
              </w:rPr>
              <w:t>1.1.1</w:t>
            </w:r>
            <w:r>
              <w:rPr>
                <w:rFonts w:eastAsia="SimSun" w:cs="Times New Roman"/>
                <w:snapToGrid w:val="0"/>
                <w:szCs w:val="24"/>
                <w:lang w:val="fr-FR"/>
              </w:rPr>
              <w:tab/>
              <w:t xml:space="preserve">Encourager et soutenir </w:t>
            </w:r>
            <w:r w:rsidR="001805ED">
              <w:rPr>
                <w:rFonts w:eastAsia="SimSun" w:cs="Times New Roman"/>
                <w:snapToGrid w:val="0"/>
                <w:szCs w:val="24"/>
                <w:lang w:val="fr-FR"/>
              </w:rPr>
              <w:br/>
            </w:r>
            <w:r>
              <w:rPr>
                <w:rFonts w:eastAsia="SimSun" w:cs="Times New Roman"/>
                <w:snapToGrid w:val="0"/>
                <w:szCs w:val="24"/>
                <w:lang w:val="fr-FR"/>
              </w:rPr>
              <w:t xml:space="preserve">la mise en place de groupes </w:t>
            </w:r>
            <w:r w:rsidR="001805ED">
              <w:rPr>
                <w:rFonts w:eastAsia="SimSun" w:cs="Times New Roman"/>
                <w:snapToGrid w:val="0"/>
                <w:szCs w:val="24"/>
                <w:lang w:val="fr-FR"/>
              </w:rPr>
              <w:br/>
            </w:r>
            <w:r>
              <w:rPr>
                <w:rFonts w:eastAsia="SimSun" w:cs="Times New Roman"/>
                <w:snapToGrid w:val="0"/>
                <w:szCs w:val="24"/>
                <w:lang w:val="fr-FR"/>
              </w:rPr>
              <w:t>de coordination nationale, avec la participation des ministères chargés des affaires maritimes, de l’environnement et de l’éducation</w:t>
            </w:r>
          </w:p>
          <w:p w:rsidR="0010763A" w:rsidRDefault="0010763A" w:rsidP="001805ED">
            <w:pPr>
              <w:widowControl w:val="0"/>
              <w:tabs>
                <w:tab w:val="left" w:pos="567"/>
              </w:tabs>
              <w:snapToGrid w:val="0"/>
              <w:spacing w:before="120" w:after="240" w:line="240" w:lineRule="auto"/>
              <w:rPr>
                <w:rFonts w:eastAsia="SimSun" w:cs="Times New Roman"/>
                <w:snapToGrid w:val="0"/>
                <w:szCs w:val="24"/>
                <w:lang w:val="fr-FR"/>
              </w:rPr>
            </w:pPr>
            <w:r>
              <w:rPr>
                <w:rFonts w:eastAsia="SimSun" w:cs="Times New Roman"/>
                <w:snapToGrid w:val="0"/>
                <w:szCs w:val="24"/>
                <w:lang w:val="fr-FR"/>
              </w:rPr>
              <w:lastRenderedPageBreak/>
              <w:t>1.1.2</w:t>
            </w:r>
            <w:r>
              <w:rPr>
                <w:rFonts w:eastAsia="SimSun" w:cs="Times New Roman"/>
                <w:snapToGrid w:val="0"/>
                <w:szCs w:val="24"/>
                <w:lang w:val="fr-FR"/>
              </w:rPr>
              <w:tab/>
              <w:t xml:space="preserve">Promouvoir l’échange de bonnes pratiques entre </w:t>
            </w:r>
            <w:r w:rsidR="001805ED">
              <w:rPr>
                <w:rFonts w:eastAsia="SimSun" w:cs="Times New Roman"/>
                <w:snapToGrid w:val="0"/>
                <w:szCs w:val="24"/>
                <w:lang w:val="fr-FR"/>
              </w:rPr>
              <w:br/>
            </w:r>
            <w:r>
              <w:rPr>
                <w:rFonts w:eastAsia="SimSun" w:cs="Times New Roman"/>
                <w:snapToGrid w:val="0"/>
                <w:szCs w:val="24"/>
                <w:lang w:val="fr-FR"/>
              </w:rPr>
              <w:t xml:space="preserve">les pays déjà dotés d’une stratégie nationale et ceux </w:t>
            </w:r>
            <w:r w:rsidR="001805ED">
              <w:rPr>
                <w:rFonts w:eastAsia="SimSun" w:cs="Times New Roman"/>
                <w:snapToGrid w:val="0"/>
                <w:szCs w:val="24"/>
                <w:lang w:val="fr-FR"/>
              </w:rPr>
              <w:br/>
            </w:r>
            <w:r>
              <w:rPr>
                <w:rFonts w:eastAsia="SimSun" w:cs="Times New Roman"/>
                <w:snapToGrid w:val="0"/>
                <w:szCs w:val="24"/>
                <w:lang w:val="fr-FR"/>
              </w:rPr>
              <w:t>qui n’en ont pas</w:t>
            </w:r>
          </w:p>
          <w:p w:rsidR="0010763A" w:rsidRPr="00590D03" w:rsidRDefault="0010763A" w:rsidP="001805ED">
            <w:pPr>
              <w:widowControl w:val="0"/>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1.1.3</w:t>
            </w:r>
            <w:r>
              <w:rPr>
                <w:rFonts w:eastAsia="SimSun" w:cs="Times New Roman"/>
                <w:snapToGrid w:val="0"/>
                <w:szCs w:val="24"/>
                <w:lang w:val="fr-FR"/>
              </w:rPr>
              <w:tab/>
              <w:t xml:space="preserve">Promouvoir la coordination à l’échelle régionale, en collaboration avec les </w:t>
            </w:r>
            <w:r w:rsidRPr="009C7C63">
              <w:rPr>
                <w:rFonts w:eastAsia="SimSun" w:cs="Times New Roman"/>
                <w:snapToGrid w:val="0"/>
                <w:szCs w:val="24"/>
                <w:lang w:val="fr-FR"/>
              </w:rPr>
              <w:t>sous-commissions régionales de la COI</w:t>
            </w:r>
          </w:p>
        </w:tc>
      </w:tr>
      <w:tr w:rsidR="0010763A" w:rsidTr="003C0B15">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EB0811">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1.2</w:t>
            </w:r>
            <w:r>
              <w:rPr>
                <w:rFonts w:eastAsia="SimSun" w:cs="Times New Roman"/>
                <w:snapToGrid w:val="0"/>
                <w:szCs w:val="24"/>
                <w:lang w:val="fr-FR"/>
              </w:rPr>
              <w:tab/>
              <w:t>Formation des enseignants</w:t>
            </w:r>
          </w:p>
        </w:tc>
        <w:tc>
          <w:tcPr>
            <w:tcW w:w="3210" w:type="dxa"/>
          </w:tcPr>
          <w:p w:rsidR="0010763A"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1.2.1</w:t>
            </w:r>
            <w:r>
              <w:rPr>
                <w:rFonts w:eastAsia="SimSun" w:cs="Times New Roman"/>
                <w:snapToGrid w:val="0"/>
                <w:szCs w:val="24"/>
                <w:lang w:val="fr-FR"/>
              </w:rPr>
              <w:tab/>
              <w:t xml:space="preserve">Produire des cours </w:t>
            </w:r>
            <w:r w:rsidR="001805ED">
              <w:rPr>
                <w:rFonts w:eastAsia="SimSun" w:cs="Times New Roman"/>
                <w:snapToGrid w:val="0"/>
                <w:szCs w:val="24"/>
                <w:lang w:val="fr-FR"/>
              </w:rPr>
              <w:br/>
            </w:r>
            <w:r>
              <w:rPr>
                <w:rFonts w:eastAsia="SimSun" w:cs="Times New Roman"/>
                <w:snapToGrid w:val="0"/>
                <w:szCs w:val="24"/>
                <w:lang w:val="fr-FR"/>
              </w:rPr>
              <w:t xml:space="preserve">de formation destinés aux enseignants sur l’initiation </w:t>
            </w:r>
            <w:r w:rsidR="001805ED">
              <w:rPr>
                <w:rFonts w:eastAsia="SimSun" w:cs="Times New Roman"/>
                <w:snapToGrid w:val="0"/>
                <w:szCs w:val="24"/>
                <w:lang w:val="fr-FR"/>
              </w:rPr>
              <w:br/>
            </w:r>
            <w:r>
              <w:rPr>
                <w:rFonts w:eastAsia="SimSun" w:cs="Times New Roman"/>
                <w:snapToGrid w:val="0"/>
                <w:szCs w:val="24"/>
                <w:lang w:val="fr-FR"/>
              </w:rPr>
              <w:t>à l’océan</w:t>
            </w:r>
          </w:p>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1.2.2</w:t>
            </w:r>
            <w:r>
              <w:rPr>
                <w:rFonts w:eastAsia="SimSun" w:cs="Times New Roman"/>
                <w:snapToGrid w:val="0"/>
                <w:szCs w:val="24"/>
                <w:lang w:val="fr-FR"/>
              </w:rPr>
              <w:tab/>
              <w:t xml:space="preserve">Produire une formation en ligne sur l’initiation à l’océan (lien avec </w:t>
            </w:r>
            <w:r w:rsidRPr="00EB0811">
              <w:rPr>
                <w:rFonts w:eastAsia="SimSun" w:cs="Times New Roman"/>
                <w:snapToGrid w:val="0"/>
                <w:szCs w:val="24"/>
                <w:lang w:val="fr-FR"/>
              </w:rPr>
              <w:t>l’Académie mondiale OceanTeacher</w:t>
            </w:r>
            <w:r>
              <w:rPr>
                <w:rFonts w:eastAsia="SimSun" w:cs="Times New Roman"/>
                <w:snapToGrid w:val="0"/>
                <w:szCs w:val="24"/>
                <w:lang w:val="fr-FR"/>
              </w:rPr>
              <w:t xml:space="preserve">) </w:t>
            </w:r>
          </w:p>
        </w:tc>
      </w:tr>
      <w:tr w:rsidR="0010763A" w:rsidTr="003C0B15">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EB0811">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1.3</w:t>
            </w:r>
            <w:r>
              <w:rPr>
                <w:rFonts w:eastAsia="SimSun" w:cs="Times New Roman"/>
                <w:snapToGrid w:val="0"/>
                <w:szCs w:val="24"/>
                <w:lang w:val="fr-FR"/>
              </w:rPr>
              <w:tab/>
              <w:t>Collaboration avec le</w:t>
            </w:r>
            <w:r w:rsidRPr="009C7C63">
              <w:rPr>
                <w:snapToGrid w:val="0"/>
                <w:lang w:val="fr-FR"/>
              </w:rPr>
              <w:t xml:space="preserve"> </w:t>
            </w:r>
            <w:r w:rsidRPr="009C7C63">
              <w:rPr>
                <w:rFonts w:eastAsia="SimSun" w:cs="Times New Roman"/>
                <w:snapToGrid w:val="0"/>
                <w:szCs w:val="24"/>
                <w:lang w:val="fr-FR"/>
              </w:rPr>
              <w:t>Réseau des écoles associées</w:t>
            </w:r>
            <w:r>
              <w:rPr>
                <w:rFonts w:eastAsia="SimSun" w:cs="Times New Roman"/>
                <w:snapToGrid w:val="0"/>
                <w:szCs w:val="24"/>
                <w:lang w:val="fr-FR"/>
              </w:rPr>
              <w:t xml:space="preserve"> (réSEAU) de l’UNESCO</w:t>
            </w:r>
          </w:p>
        </w:tc>
        <w:tc>
          <w:tcPr>
            <w:tcW w:w="3210" w:type="dxa"/>
          </w:tcPr>
          <w:p w:rsidR="0010763A"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1.3.1</w:t>
            </w:r>
            <w:r>
              <w:rPr>
                <w:rFonts w:eastAsia="SimSun" w:cs="Times New Roman"/>
                <w:snapToGrid w:val="0"/>
                <w:szCs w:val="24"/>
                <w:lang w:val="fr-FR"/>
              </w:rPr>
              <w:tab/>
              <w:t>Élaborer des activités pilotes avec les écoles membres du réSEAU</w:t>
            </w:r>
          </w:p>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1.3.2</w:t>
            </w:r>
            <w:r>
              <w:rPr>
                <w:rFonts w:eastAsia="SimSun" w:cs="Times New Roman"/>
                <w:snapToGrid w:val="0"/>
                <w:szCs w:val="24"/>
                <w:lang w:val="fr-FR"/>
              </w:rPr>
              <w:tab/>
              <w:t xml:space="preserve">Instaurer une collaboration permanente avec les coordonnateurs nationaux du réSEAU sur </w:t>
            </w:r>
            <w:r w:rsidR="001805ED">
              <w:rPr>
                <w:rFonts w:eastAsia="SimSun" w:cs="Times New Roman"/>
                <w:snapToGrid w:val="0"/>
                <w:szCs w:val="24"/>
                <w:lang w:val="fr-FR"/>
              </w:rPr>
              <w:br/>
            </w:r>
            <w:r>
              <w:rPr>
                <w:rFonts w:eastAsia="SimSun" w:cs="Times New Roman"/>
                <w:snapToGrid w:val="0"/>
                <w:szCs w:val="24"/>
                <w:lang w:val="fr-FR"/>
              </w:rPr>
              <w:t>des activités à long terme</w:t>
            </w:r>
          </w:p>
        </w:tc>
      </w:tr>
      <w:tr w:rsidR="0010763A" w:rsidTr="0084162C">
        <w:tc>
          <w:tcPr>
            <w:tcW w:w="3209" w:type="dxa"/>
            <w:vMerge w:val="restart"/>
          </w:tcPr>
          <w:p w:rsidR="0010763A" w:rsidRPr="00EB0811" w:rsidRDefault="0010763A" w:rsidP="002052A7">
            <w:pPr>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t>2.</w:t>
            </w:r>
            <w:r>
              <w:rPr>
                <w:rFonts w:eastAsia="SimSun" w:cs="Times New Roman"/>
                <w:b/>
                <w:snapToGrid w:val="0"/>
                <w:szCs w:val="24"/>
                <w:lang w:val="fr-FR"/>
              </w:rPr>
              <w:tab/>
              <w:t>Renforcement du dialogue et de la collaboration grâce à la participation de diverses parties prenantes aux discussions sur l’initiation à l’océan</w:t>
            </w:r>
          </w:p>
        </w:tc>
        <w:tc>
          <w:tcPr>
            <w:tcW w:w="3209" w:type="dxa"/>
          </w:tcPr>
          <w:p w:rsidR="0010763A" w:rsidRPr="00590D03" w:rsidRDefault="0010763A" w:rsidP="003E08B5">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2.1</w:t>
            </w:r>
            <w:r>
              <w:rPr>
                <w:rFonts w:eastAsia="SimSun" w:cs="Times New Roman"/>
                <w:snapToGrid w:val="0"/>
                <w:szCs w:val="24"/>
                <w:lang w:val="fr-FR"/>
              </w:rPr>
              <w:tab/>
              <w:t>Promotion de partenariats multipartites</w:t>
            </w:r>
          </w:p>
        </w:tc>
        <w:tc>
          <w:tcPr>
            <w:tcW w:w="3210" w:type="dxa"/>
          </w:tcPr>
          <w:p w:rsidR="0010763A"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2.1.1</w:t>
            </w:r>
            <w:r>
              <w:rPr>
                <w:rFonts w:eastAsia="SimSun" w:cs="Times New Roman"/>
                <w:snapToGrid w:val="0"/>
                <w:szCs w:val="24"/>
                <w:lang w:val="fr-FR"/>
              </w:rPr>
              <w:tab/>
              <w:t>Créer une base de données des organisations œuvrant dans les domaines de la protection des océans, de la gestion de l’océan, des sciences océaniques, etc.</w:t>
            </w:r>
          </w:p>
          <w:p w:rsidR="0010763A" w:rsidRPr="003E08B5"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2.1.2</w:t>
            </w:r>
            <w:r>
              <w:rPr>
                <w:rFonts w:eastAsia="SimSun" w:cs="Times New Roman"/>
                <w:snapToGrid w:val="0"/>
                <w:szCs w:val="24"/>
                <w:lang w:val="fr-FR"/>
              </w:rPr>
              <w:tab/>
              <w:t xml:space="preserve">Nouer des liens et collaborer avec les organisations, associations et réseaux existants, tels que les </w:t>
            </w:r>
            <w:r w:rsidRPr="003E08B5">
              <w:rPr>
                <w:rFonts w:eastAsia="SimSun" w:cs="Times New Roman"/>
                <w:snapToGrid w:val="0"/>
                <w:szCs w:val="24"/>
                <w:lang w:val="fr-FR"/>
              </w:rPr>
              <w:t>groupe</w:t>
            </w:r>
            <w:r>
              <w:rPr>
                <w:rFonts w:eastAsia="SimSun" w:cs="Times New Roman"/>
                <w:snapToGrid w:val="0"/>
                <w:szCs w:val="24"/>
                <w:lang w:val="fr-FR"/>
              </w:rPr>
              <w:t>s</w:t>
            </w:r>
            <w:r w:rsidRPr="003E08B5">
              <w:rPr>
                <w:rFonts w:eastAsia="SimSun" w:cs="Times New Roman"/>
                <w:snapToGrid w:val="0"/>
                <w:szCs w:val="24"/>
                <w:lang w:val="fr-FR"/>
              </w:rPr>
              <w:t xml:space="preserve"> d’action pour l’océan</w:t>
            </w:r>
            <w:r>
              <w:rPr>
                <w:rFonts w:eastAsia="SimSun" w:cs="Times New Roman"/>
                <w:snapToGrid w:val="0"/>
                <w:szCs w:val="24"/>
                <w:lang w:val="fr-FR"/>
              </w:rPr>
              <w:t>, ONU</w:t>
            </w:r>
            <w:r>
              <w:rPr>
                <w:rFonts w:eastAsia="SimSun" w:cs="Times New Roman"/>
                <w:snapToGrid w:val="0"/>
                <w:szCs w:val="24"/>
                <w:lang w:val="fr-FR"/>
              </w:rPr>
              <w:noBreakHyphen/>
              <w:t>Océans, etc.</w:t>
            </w:r>
          </w:p>
        </w:tc>
      </w:tr>
      <w:tr w:rsidR="0010763A" w:rsidTr="00083F65">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9C7C63">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2.2</w:t>
            </w:r>
            <w:r>
              <w:rPr>
                <w:rFonts w:eastAsia="SimSun" w:cs="Times New Roman"/>
                <w:snapToGrid w:val="0"/>
                <w:szCs w:val="24"/>
                <w:lang w:val="fr-FR"/>
              </w:rPr>
              <w:tab/>
              <w:t>Élargissement de l’accès aux connaissances sur l’océan</w:t>
            </w:r>
          </w:p>
        </w:tc>
        <w:tc>
          <w:tcPr>
            <w:tcW w:w="3210" w:type="dxa"/>
          </w:tcPr>
          <w:p w:rsidR="0010763A" w:rsidRDefault="0010763A" w:rsidP="00613CB5">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2.2.1</w:t>
            </w:r>
            <w:r>
              <w:rPr>
                <w:rFonts w:eastAsia="SimSun" w:cs="Times New Roman"/>
                <w:snapToGrid w:val="0"/>
                <w:szCs w:val="24"/>
                <w:lang w:val="fr-FR"/>
              </w:rPr>
              <w:tab/>
              <w:t>Connecter différentes ressources en ligne de connaissances sur l’océan, notamment le catalogue ODISCat de la COI et le CHM/TMT de l’IODE, afin d’aider les utilisateurs à parcourir différentes plates</w:t>
            </w:r>
            <w:r w:rsidR="001805ED">
              <w:rPr>
                <w:rFonts w:eastAsia="SimSun" w:cs="Times New Roman"/>
                <w:snapToGrid w:val="0"/>
                <w:szCs w:val="24"/>
                <w:lang w:val="fr-FR"/>
              </w:rPr>
              <w:noBreakHyphen/>
            </w:r>
            <w:r>
              <w:rPr>
                <w:rFonts w:eastAsia="SimSun" w:cs="Times New Roman"/>
                <w:snapToGrid w:val="0"/>
                <w:szCs w:val="24"/>
                <w:lang w:val="fr-FR"/>
              </w:rPr>
              <w:t>formes et réseaux de connaissances</w:t>
            </w:r>
          </w:p>
          <w:p w:rsidR="0010763A" w:rsidRPr="00590D03" w:rsidRDefault="0010763A" w:rsidP="00613CB5">
            <w:pPr>
              <w:keepNext/>
              <w:keepLines/>
              <w:tabs>
                <w:tab w:val="left" w:pos="567"/>
              </w:tabs>
              <w:snapToGrid w:val="0"/>
              <w:spacing w:before="120" w:after="120" w:line="240" w:lineRule="auto"/>
              <w:rPr>
                <w:rFonts w:eastAsia="SimSun" w:cs="Times New Roman"/>
                <w:snapToGrid w:val="0"/>
                <w:szCs w:val="24"/>
                <w:lang w:val="fr-FR"/>
              </w:rPr>
            </w:pPr>
            <w:r>
              <w:rPr>
                <w:rFonts w:eastAsia="SimSun" w:cs="Times New Roman"/>
                <w:snapToGrid w:val="0"/>
                <w:szCs w:val="24"/>
                <w:lang w:val="fr-FR"/>
              </w:rPr>
              <w:lastRenderedPageBreak/>
              <w:t>2.2.2</w:t>
            </w:r>
            <w:r>
              <w:rPr>
                <w:rFonts w:eastAsia="SimSun" w:cs="Times New Roman"/>
                <w:snapToGrid w:val="0"/>
                <w:szCs w:val="24"/>
                <w:lang w:val="fr-FR"/>
              </w:rPr>
              <w:tab/>
              <w:t>Assurer la coordination avec l’ensemble des sections, programmes et unités de la COI et, en étroite collaboration avec le Responsable de la communication de la COI, élaborer des ressources d’initiation à l’océan, telles que des notes d’orientation, des fiches techniques, des vidéos, etc.</w:t>
            </w:r>
          </w:p>
        </w:tc>
      </w:tr>
      <w:tr w:rsidR="0010763A" w:rsidTr="00083F65">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7B3479">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2.3</w:t>
            </w:r>
            <w:r>
              <w:rPr>
                <w:rFonts w:eastAsia="SimSun" w:cs="Times New Roman"/>
                <w:snapToGrid w:val="0"/>
                <w:szCs w:val="24"/>
                <w:lang w:val="fr-FR"/>
              </w:rPr>
              <w:tab/>
              <w:t xml:space="preserve">Organisation </w:t>
            </w:r>
            <w:r w:rsidR="00822679">
              <w:rPr>
                <w:rFonts w:eastAsia="SimSun" w:cs="Times New Roman"/>
                <w:snapToGrid w:val="0"/>
                <w:szCs w:val="24"/>
                <w:lang w:val="fr-FR"/>
              </w:rPr>
              <w:br/>
            </w:r>
            <w:r>
              <w:rPr>
                <w:rFonts w:eastAsia="SimSun" w:cs="Times New Roman"/>
                <w:snapToGrid w:val="0"/>
                <w:szCs w:val="24"/>
                <w:lang w:val="fr-FR"/>
              </w:rPr>
              <w:t>de manifestations thématiques et d’événements spéciaux</w:t>
            </w:r>
          </w:p>
        </w:tc>
        <w:tc>
          <w:tcPr>
            <w:tcW w:w="3210" w:type="dxa"/>
          </w:tcPr>
          <w:p w:rsidR="0010763A" w:rsidRPr="00590D03" w:rsidRDefault="0010763A" w:rsidP="00822679">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2.3</w:t>
            </w:r>
            <w:r>
              <w:rPr>
                <w:rFonts w:eastAsia="SimSun" w:cs="Times New Roman"/>
                <w:snapToGrid w:val="0"/>
                <w:szCs w:val="24"/>
                <w:lang w:val="fr-FR"/>
              </w:rPr>
              <w:tab/>
              <w:t>Favoriser les synergies entre manifestations liées à l’océan (</w:t>
            </w:r>
            <w:r w:rsidRPr="007B3479">
              <w:rPr>
                <w:rFonts w:eastAsia="SimSun" w:cs="Times New Roman"/>
                <w:snapToGrid w:val="0"/>
                <w:szCs w:val="24"/>
                <w:lang w:val="fr-FR"/>
              </w:rPr>
              <w:t>Journée européenne de la mer</w:t>
            </w:r>
            <w:r>
              <w:rPr>
                <w:rFonts w:eastAsia="SimSun" w:cs="Times New Roman"/>
                <w:snapToGrid w:val="0"/>
                <w:szCs w:val="24"/>
                <w:lang w:val="fr-FR"/>
              </w:rPr>
              <w:t xml:space="preserve">, </w:t>
            </w:r>
            <w:r w:rsidRPr="008B44BE">
              <w:rPr>
                <w:rFonts w:eastAsia="SimSun" w:cs="Times New Roman"/>
                <w:snapToGrid w:val="0"/>
                <w:szCs w:val="24"/>
                <w:lang w:val="fr-FR"/>
              </w:rPr>
              <w:t>Journée mondiale de l</w:t>
            </w:r>
            <w:r w:rsidR="00822679" w:rsidRPr="008B44BE">
              <w:rPr>
                <w:rFonts w:eastAsia="SimSun" w:cs="Times New Roman"/>
                <w:snapToGrid w:val="0"/>
                <w:szCs w:val="24"/>
                <w:lang w:val="fr-FR"/>
              </w:rPr>
              <w:t>'</w:t>
            </w:r>
            <w:r w:rsidRPr="008B44BE">
              <w:rPr>
                <w:rFonts w:eastAsia="SimSun" w:cs="Times New Roman"/>
                <w:snapToGrid w:val="0"/>
                <w:szCs w:val="24"/>
                <w:lang w:val="fr-FR"/>
              </w:rPr>
              <w:t>océan, Sommet mondial sur l'océan, Conférence sur les oc</w:t>
            </w:r>
            <w:r>
              <w:rPr>
                <w:rFonts w:eastAsia="SimSun" w:cs="Times New Roman"/>
                <w:snapToGrid w:val="0"/>
                <w:szCs w:val="24"/>
                <w:lang w:val="fr-FR"/>
              </w:rPr>
              <w:t>é</w:t>
            </w:r>
            <w:r w:rsidRPr="008B44BE">
              <w:rPr>
                <w:rFonts w:eastAsia="SimSun" w:cs="Times New Roman"/>
                <w:snapToGrid w:val="0"/>
                <w:szCs w:val="24"/>
                <w:lang w:val="fr-FR"/>
              </w:rPr>
              <w:t>ans, etc.</w:t>
            </w:r>
            <w:r>
              <w:rPr>
                <w:rFonts w:eastAsia="SimSun" w:cs="Times New Roman"/>
                <w:snapToGrid w:val="0"/>
                <w:szCs w:val="24"/>
                <w:lang w:val="fr-FR"/>
              </w:rPr>
              <w:t xml:space="preserve">) pour organiser des événements sur l’initiation à l’océan </w:t>
            </w:r>
            <w:r w:rsidR="00822679">
              <w:rPr>
                <w:rFonts w:eastAsia="SimSun" w:cs="Times New Roman"/>
                <w:snapToGrid w:val="0"/>
                <w:szCs w:val="24"/>
                <w:lang w:val="fr-FR"/>
              </w:rPr>
              <w:t>à l’intention de divers acteurs</w:t>
            </w:r>
          </w:p>
        </w:tc>
      </w:tr>
      <w:tr w:rsidR="0010763A" w:rsidTr="004E5A75">
        <w:tc>
          <w:tcPr>
            <w:tcW w:w="3209" w:type="dxa"/>
            <w:vMerge w:val="restart"/>
          </w:tcPr>
          <w:p w:rsidR="0010763A" w:rsidRPr="008B44BE" w:rsidRDefault="0010763A" w:rsidP="009C7C63">
            <w:pPr>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t>3.</w:t>
            </w:r>
            <w:r>
              <w:rPr>
                <w:rFonts w:eastAsia="SimSun" w:cs="Times New Roman"/>
                <w:b/>
                <w:snapToGrid w:val="0"/>
                <w:szCs w:val="24"/>
                <w:lang w:val="fr-FR"/>
              </w:rPr>
              <w:tab/>
              <w:t>Élargissement de l’accès aux produits de la COI et aux ressources sur l’initiation à l’océan</w:t>
            </w:r>
          </w:p>
        </w:tc>
        <w:tc>
          <w:tcPr>
            <w:tcW w:w="3209" w:type="dxa"/>
          </w:tcPr>
          <w:p w:rsidR="0010763A" w:rsidRPr="00590D03" w:rsidRDefault="0010763A" w:rsidP="008B44BE">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3.1</w:t>
            </w:r>
            <w:r>
              <w:rPr>
                <w:rFonts w:eastAsia="SimSun" w:cs="Times New Roman"/>
                <w:snapToGrid w:val="0"/>
                <w:szCs w:val="24"/>
                <w:lang w:val="fr-FR"/>
              </w:rPr>
              <w:tab/>
              <w:t xml:space="preserve">Faciliter l’accès aux ressources en matière </w:t>
            </w:r>
            <w:r w:rsidR="00822679">
              <w:rPr>
                <w:rFonts w:eastAsia="SimSun" w:cs="Times New Roman"/>
                <w:snapToGrid w:val="0"/>
                <w:szCs w:val="24"/>
                <w:lang w:val="fr-FR"/>
              </w:rPr>
              <w:br/>
            </w:r>
            <w:r>
              <w:rPr>
                <w:rFonts w:eastAsia="SimSun" w:cs="Times New Roman"/>
                <w:snapToGrid w:val="0"/>
                <w:szCs w:val="24"/>
                <w:lang w:val="fr-FR"/>
              </w:rPr>
              <w:t>de sciences océaniques et d’initiation à l’océan</w:t>
            </w:r>
          </w:p>
        </w:tc>
        <w:tc>
          <w:tcPr>
            <w:tcW w:w="3210" w:type="dxa"/>
          </w:tcPr>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3.1.1</w:t>
            </w:r>
            <w:r>
              <w:rPr>
                <w:rFonts w:eastAsia="SimSun" w:cs="Times New Roman"/>
                <w:snapToGrid w:val="0"/>
                <w:szCs w:val="24"/>
                <w:lang w:val="fr-FR"/>
              </w:rPr>
              <w:tab/>
              <w:t xml:space="preserve">Approfondir les fonctionnalités et accroître l’interactivité de la plate-forme en ligne d’initiation à l’océan de la COI, y compris les options d’accessibilité </w:t>
            </w:r>
          </w:p>
        </w:tc>
      </w:tr>
      <w:tr w:rsidR="0010763A" w:rsidTr="004E5A75">
        <w:tc>
          <w:tcPr>
            <w:tcW w:w="3209" w:type="dxa"/>
            <w:vMerge/>
            <w:tcBorders>
              <w:bottom w:val="single" w:sz="4" w:space="0" w:color="auto"/>
            </w:tcBorders>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85304B">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3.2</w:t>
            </w:r>
            <w:r>
              <w:rPr>
                <w:rFonts w:eastAsia="SimSun" w:cs="Times New Roman"/>
                <w:snapToGrid w:val="0"/>
                <w:szCs w:val="24"/>
                <w:lang w:val="fr-FR"/>
              </w:rPr>
              <w:tab/>
              <w:t>Améliorer le multilinguisme et la diversité des points de vue des ressources sur l’initiation à l’océan</w:t>
            </w:r>
          </w:p>
        </w:tc>
        <w:tc>
          <w:tcPr>
            <w:tcW w:w="3210" w:type="dxa"/>
          </w:tcPr>
          <w:p w:rsidR="0010763A" w:rsidRDefault="0010763A" w:rsidP="001805ED">
            <w:pPr>
              <w:tabs>
                <w:tab w:val="left" w:pos="567"/>
              </w:tabs>
              <w:snapToGrid w:val="0"/>
              <w:spacing w:after="180" w:line="240" w:lineRule="auto"/>
              <w:rPr>
                <w:rFonts w:eastAsia="SimSun" w:cs="Times New Roman"/>
                <w:snapToGrid w:val="0"/>
                <w:szCs w:val="24"/>
                <w:lang w:val="fr-FR"/>
              </w:rPr>
            </w:pPr>
            <w:r>
              <w:rPr>
                <w:rFonts w:eastAsia="SimSun" w:cs="Times New Roman"/>
                <w:snapToGrid w:val="0"/>
                <w:szCs w:val="24"/>
                <w:lang w:val="fr-FR"/>
              </w:rPr>
              <w:t>3.2.1</w:t>
            </w:r>
            <w:r>
              <w:rPr>
                <w:rFonts w:eastAsia="SimSun" w:cs="Times New Roman"/>
                <w:snapToGrid w:val="0"/>
                <w:szCs w:val="24"/>
                <w:lang w:val="fr-FR"/>
              </w:rPr>
              <w:tab/>
              <w:t>Trouver des ressources pour la traduction des ressources fondamentales en matière d’initiation à l’océan</w:t>
            </w:r>
          </w:p>
          <w:p w:rsidR="0010763A" w:rsidRDefault="0010763A" w:rsidP="001805ED">
            <w:pPr>
              <w:tabs>
                <w:tab w:val="left" w:pos="567"/>
              </w:tabs>
              <w:snapToGrid w:val="0"/>
              <w:spacing w:after="180" w:line="240" w:lineRule="auto"/>
              <w:rPr>
                <w:rFonts w:eastAsia="SimSun" w:cs="Times New Roman"/>
                <w:snapToGrid w:val="0"/>
                <w:szCs w:val="24"/>
                <w:lang w:val="fr-FR"/>
              </w:rPr>
            </w:pPr>
            <w:r>
              <w:rPr>
                <w:rFonts w:eastAsia="SimSun" w:cs="Times New Roman"/>
                <w:snapToGrid w:val="0"/>
                <w:szCs w:val="24"/>
                <w:lang w:val="fr-FR"/>
              </w:rPr>
              <w:t>3.2.2</w:t>
            </w:r>
            <w:r>
              <w:rPr>
                <w:rFonts w:eastAsia="SimSun" w:cs="Times New Roman"/>
                <w:snapToGrid w:val="0"/>
                <w:szCs w:val="24"/>
                <w:lang w:val="fr-FR"/>
              </w:rPr>
              <w:tab/>
              <w:t>Créer une base de données des ressources sur l’initiation à l’océan au moins dans les quatre langues de travail de la COI (anglais, français, espagnol et russe)</w:t>
            </w:r>
          </w:p>
          <w:p w:rsidR="0010763A" w:rsidRDefault="0010763A" w:rsidP="001805ED">
            <w:pPr>
              <w:tabs>
                <w:tab w:val="left" w:pos="567"/>
              </w:tabs>
              <w:snapToGrid w:val="0"/>
              <w:spacing w:after="180" w:line="240" w:lineRule="auto"/>
              <w:rPr>
                <w:rFonts w:eastAsia="SimSun" w:cs="Times New Roman"/>
                <w:snapToGrid w:val="0"/>
                <w:szCs w:val="24"/>
                <w:lang w:val="fr-FR"/>
              </w:rPr>
            </w:pPr>
            <w:r>
              <w:rPr>
                <w:rFonts w:eastAsia="SimSun" w:cs="Times New Roman"/>
                <w:snapToGrid w:val="0"/>
                <w:szCs w:val="24"/>
                <w:lang w:val="fr-FR"/>
              </w:rPr>
              <w:t>3.2.3</w:t>
            </w:r>
            <w:r>
              <w:rPr>
                <w:rFonts w:eastAsia="SimSun" w:cs="Times New Roman"/>
                <w:snapToGrid w:val="0"/>
                <w:szCs w:val="24"/>
                <w:lang w:val="fr-FR"/>
              </w:rPr>
              <w:tab/>
              <w:t>Produire des ressources sur l’initiation à l’océan prenant en compte différentes approches culturelles et différents groupes cibles, notamment les groupes défavorisés ou sous-représentés</w:t>
            </w:r>
          </w:p>
          <w:p w:rsidR="0010763A" w:rsidRPr="00590D03" w:rsidRDefault="0010763A" w:rsidP="00822679">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3.2.4</w:t>
            </w:r>
            <w:r>
              <w:rPr>
                <w:rFonts w:eastAsia="SimSun" w:cs="Times New Roman"/>
                <w:snapToGrid w:val="0"/>
                <w:szCs w:val="24"/>
                <w:lang w:val="fr-FR"/>
              </w:rPr>
              <w:tab/>
              <w:t>Accroître la collaboration avec d’autres secteurs et programmes de l’UNESCO, tels que LINKS, le patrimoine culturel subaquatique, l’éducation en vue du développement durable, etc.</w:t>
            </w:r>
          </w:p>
        </w:tc>
      </w:tr>
      <w:tr w:rsidR="0010763A" w:rsidTr="009F3851">
        <w:tc>
          <w:tcPr>
            <w:tcW w:w="3209" w:type="dxa"/>
            <w:vMerge w:val="restart"/>
            <w:tcBorders>
              <w:top w:val="single" w:sz="4" w:space="0" w:color="auto"/>
            </w:tcBorders>
          </w:tcPr>
          <w:p w:rsidR="0010763A" w:rsidRPr="00D55478" w:rsidRDefault="0010763A" w:rsidP="00D55478">
            <w:pPr>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lastRenderedPageBreak/>
              <w:t>4.</w:t>
            </w:r>
            <w:r>
              <w:rPr>
                <w:rFonts w:eastAsia="SimSun" w:cs="Times New Roman"/>
                <w:b/>
                <w:snapToGrid w:val="0"/>
                <w:szCs w:val="24"/>
                <w:lang w:val="fr-FR"/>
              </w:rPr>
              <w:tab/>
              <w:t xml:space="preserve">Renforcement </w:t>
            </w:r>
            <w:r w:rsidR="00CD3559">
              <w:rPr>
                <w:rFonts w:eastAsia="SimSun" w:cs="Times New Roman"/>
                <w:b/>
                <w:snapToGrid w:val="0"/>
                <w:szCs w:val="24"/>
                <w:lang w:val="fr-FR"/>
              </w:rPr>
              <w:br/>
            </w:r>
            <w:r>
              <w:rPr>
                <w:rFonts w:eastAsia="SimSun" w:cs="Times New Roman"/>
                <w:b/>
                <w:snapToGrid w:val="0"/>
                <w:szCs w:val="24"/>
                <w:lang w:val="fr-FR"/>
              </w:rPr>
              <w:t xml:space="preserve">de la capacité </w:t>
            </w:r>
            <w:r w:rsidR="00CD3559">
              <w:rPr>
                <w:rFonts w:eastAsia="SimSun" w:cs="Times New Roman"/>
                <w:b/>
                <w:snapToGrid w:val="0"/>
                <w:szCs w:val="24"/>
                <w:lang w:val="fr-FR"/>
              </w:rPr>
              <w:br/>
            </w:r>
            <w:r>
              <w:rPr>
                <w:rFonts w:eastAsia="SimSun" w:cs="Times New Roman"/>
                <w:b/>
                <w:snapToGrid w:val="0"/>
                <w:szCs w:val="24"/>
                <w:lang w:val="fr-FR"/>
              </w:rPr>
              <w:t xml:space="preserve">des parties prenantes (gouvernements, secteur privé, journalistes, communautés, etc.) </w:t>
            </w:r>
            <w:r w:rsidR="00CD3559">
              <w:rPr>
                <w:rFonts w:eastAsia="SimSun" w:cs="Times New Roman"/>
                <w:b/>
                <w:snapToGrid w:val="0"/>
                <w:szCs w:val="24"/>
                <w:lang w:val="fr-FR"/>
              </w:rPr>
              <w:br/>
            </w:r>
            <w:r>
              <w:rPr>
                <w:rFonts w:eastAsia="SimSun" w:cs="Times New Roman"/>
                <w:b/>
                <w:snapToGrid w:val="0"/>
                <w:szCs w:val="24"/>
                <w:lang w:val="fr-FR"/>
              </w:rPr>
              <w:t>de prendre part aux discussions et activités en</w:t>
            </w:r>
            <w:r w:rsidR="00CD3559">
              <w:rPr>
                <w:rFonts w:eastAsia="SimSun" w:cs="Times New Roman"/>
                <w:b/>
                <w:snapToGrid w:val="0"/>
                <w:szCs w:val="24"/>
                <w:lang w:val="fr-FR"/>
              </w:rPr>
              <w:t xml:space="preserve"> matière d’initiation à l’océan</w:t>
            </w:r>
          </w:p>
        </w:tc>
        <w:tc>
          <w:tcPr>
            <w:tcW w:w="3209" w:type="dxa"/>
          </w:tcPr>
          <w:p w:rsidR="0010763A" w:rsidRPr="00590D03" w:rsidRDefault="0010763A" w:rsidP="00D55478">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4.1</w:t>
            </w:r>
            <w:r>
              <w:rPr>
                <w:rFonts w:eastAsia="SimSun" w:cs="Times New Roman"/>
                <w:snapToGrid w:val="0"/>
                <w:szCs w:val="24"/>
                <w:lang w:val="fr-FR"/>
              </w:rPr>
              <w:tab/>
              <w:t xml:space="preserve">Élaborer des formations sur l’initiation à l’océan </w:t>
            </w:r>
            <w:r w:rsidR="00CD3559">
              <w:rPr>
                <w:rFonts w:eastAsia="SimSun" w:cs="Times New Roman"/>
                <w:snapToGrid w:val="0"/>
                <w:szCs w:val="24"/>
                <w:lang w:val="fr-FR"/>
              </w:rPr>
              <w:br/>
            </w:r>
            <w:r>
              <w:rPr>
                <w:rFonts w:eastAsia="SimSun" w:cs="Times New Roman"/>
                <w:snapToGrid w:val="0"/>
                <w:szCs w:val="24"/>
                <w:lang w:val="fr-FR"/>
              </w:rPr>
              <w:t xml:space="preserve">à l’intention de divers publics </w:t>
            </w:r>
          </w:p>
        </w:tc>
        <w:tc>
          <w:tcPr>
            <w:tcW w:w="3210" w:type="dxa"/>
          </w:tcPr>
          <w:p w:rsidR="0010763A" w:rsidRDefault="0010763A" w:rsidP="00CD3559">
            <w:pPr>
              <w:keepNext/>
              <w:keepLines/>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4.1.1</w:t>
            </w:r>
            <w:r>
              <w:rPr>
                <w:rFonts w:eastAsia="SimSun" w:cs="Times New Roman"/>
                <w:snapToGrid w:val="0"/>
                <w:szCs w:val="24"/>
                <w:lang w:val="fr-FR"/>
              </w:rPr>
              <w:tab/>
            </w:r>
            <w:r w:rsidRPr="001805ED">
              <w:rPr>
                <w:rFonts w:eastAsia="SimSun" w:cs="Times New Roman"/>
                <w:snapToGrid w:val="0"/>
                <w:spacing w:val="-3"/>
                <w:szCs w:val="24"/>
                <w:lang w:val="fr-FR"/>
              </w:rPr>
              <w:t>Identifier les besoins de formation en matière d’initiation à l’océan à l’intention de différents publics (secteur privé, responsables des politiques, journalistes, etc.)</w:t>
            </w:r>
          </w:p>
          <w:p w:rsidR="0010763A" w:rsidRDefault="0010763A" w:rsidP="00CD3559">
            <w:pPr>
              <w:keepNext/>
              <w:keepLines/>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4.1.2</w:t>
            </w:r>
            <w:r>
              <w:rPr>
                <w:rFonts w:eastAsia="SimSun" w:cs="Times New Roman"/>
                <w:snapToGrid w:val="0"/>
                <w:szCs w:val="24"/>
                <w:lang w:val="fr-FR"/>
              </w:rPr>
              <w:tab/>
              <w:t>Élaborer des contenus pour les formations en matière d’initiation à l’océan</w:t>
            </w:r>
          </w:p>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4.1.3</w:t>
            </w:r>
            <w:r>
              <w:rPr>
                <w:rFonts w:eastAsia="SimSun" w:cs="Times New Roman"/>
                <w:snapToGrid w:val="0"/>
                <w:szCs w:val="24"/>
                <w:lang w:val="fr-FR"/>
              </w:rPr>
              <w:tab/>
              <w:t>Créer des opportunités pour l’organi</w:t>
            </w:r>
            <w:r w:rsidR="00CD3559">
              <w:rPr>
                <w:rFonts w:eastAsia="SimSun" w:cs="Times New Roman"/>
                <w:snapToGrid w:val="0"/>
                <w:szCs w:val="24"/>
                <w:lang w:val="fr-FR"/>
              </w:rPr>
              <w:t>sation de sessions de formation</w:t>
            </w:r>
          </w:p>
        </w:tc>
      </w:tr>
      <w:tr w:rsidR="0010763A" w:rsidTr="009F3851">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1805ED">
            <w:pPr>
              <w:tabs>
                <w:tab w:val="left" w:pos="504"/>
              </w:tabs>
              <w:snapToGrid w:val="0"/>
              <w:spacing w:after="120" w:line="240" w:lineRule="auto"/>
              <w:ind w:left="504" w:hanging="504"/>
              <w:rPr>
                <w:rFonts w:eastAsia="SimSun" w:cs="Times New Roman"/>
                <w:snapToGrid w:val="0"/>
                <w:szCs w:val="24"/>
                <w:lang w:val="fr-FR"/>
              </w:rPr>
            </w:pPr>
            <w:r>
              <w:rPr>
                <w:rFonts w:eastAsia="SimSun" w:cs="Times New Roman"/>
                <w:snapToGrid w:val="0"/>
                <w:szCs w:val="24"/>
                <w:lang w:val="fr-FR"/>
              </w:rPr>
              <w:t>4.2</w:t>
            </w:r>
            <w:r>
              <w:rPr>
                <w:rFonts w:eastAsia="SimSun" w:cs="Times New Roman"/>
                <w:snapToGrid w:val="0"/>
                <w:szCs w:val="24"/>
                <w:lang w:val="fr-FR"/>
              </w:rPr>
              <w:tab/>
              <w:t xml:space="preserve">Mettre en place </w:t>
            </w:r>
            <w:r w:rsidR="00CD3559">
              <w:rPr>
                <w:rFonts w:eastAsia="SimSun" w:cs="Times New Roman"/>
                <w:snapToGrid w:val="0"/>
                <w:szCs w:val="24"/>
                <w:lang w:val="fr-FR"/>
              </w:rPr>
              <w:br/>
            </w:r>
            <w:r>
              <w:rPr>
                <w:rFonts w:eastAsia="SimSun" w:cs="Times New Roman"/>
                <w:snapToGrid w:val="0"/>
                <w:szCs w:val="24"/>
                <w:lang w:val="fr-FR"/>
              </w:rPr>
              <w:t xml:space="preserve">une plate-forme pour l’échange permanent </w:t>
            </w:r>
            <w:r w:rsidR="00CD3559">
              <w:rPr>
                <w:rFonts w:eastAsia="SimSun" w:cs="Times New Roman"/>
                <w:snapToGrid w:val="0"/>
                <w:szCs w:val="24"/>
                <w:lang w:val="fr-FR"/>
              </w:rPr>
              <w:br/>
            </w:r>
            <w:r>
              <w:rPr>
                <w:rFonts w:eastAsia="SimSun" w:cs="Times New Roman"/>
                <w:snapToGrid w:val="0"/>
                <w:szCs w:val="24"/>
                <w:lang w:val="fr-FR"/>
              </w:rPr>
              <w:t xml:space="preserve">de bonnes pratiques </w:t>
            </w:r>
          </w:p>
        </w:tc>
        <w:tc>
          <w:tcPr>
            <w:tcW w:w="3210" w:type="dxa"/>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4.2.1</w:t>
            </w:r>
          </w:p>
        </w:tc>
      </w:tr>
      <w:tr w:rsidR="0010763A" w:rsidTr="009F3851">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017576">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4.3</w:t>
            </w:r>
            <w:r>
              <w:rPr>
                <w:rFonts w:eastAsia="SimSun" w:cs="Times New Roman"/>
                <w:snapToGrid w:val="0"/>
                <w:szCs w:val="24"/>
                <w:lang w:val="fr-FR"/>
              </w:rPr>
              <w:tab/>
              <w:t>Concevoir des outils de communication sur l’intérêt environnemental, social et économique de l’océan pour la société</w:t>
            </w:r>
          </w:p>
        </w:tc>
        <w:tc>
          <w:tcPr>
            <w:tcW w:w="3210" w:type="dxa"/>
          </w:tcPr>
          <w:p w:rsidR="0010763A"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4.3.1</w:t>
            </w:r>
            <w:r>
              <w:rPr>
                <w:rFonts w:eastAsia="SimSun" w:cs="Times New Roman"/>
                <w:snapToGrid w:val="0"/>
                <w:szCs w:val="24"/>
                <w:lang w:val="fr-FR"/>
              </w:rPr>
              <w:tab/>
              <w:t xml:space="preserve">Compiler les </w:t>
            </w:r>
            <w:r w:rsidRPr="00017576">
              <w:rPr>
                <w:rFonts w:eastAsia="SimSun" w:cs="Times New Roman"/>
                <w:snapToGrid w:val="0"/>
                <w:szCs w:val="24"/>
                <w:lang w:val="fr-FR"/>
              </w:rPr>
              <w:t xml:space="preserve">outils de communication </w:t>
            </w:r>
            <w:r>
              <w:rPr>
                <w:rFonts w:eastAsia="SimSun" w:cs="Times New Roman"/>
                <w:snapToGrid w:val="0"/>
                <w:szCs w:val="24"/>
                <w:lang w:val="fr-FR"/>
              </w:rPr>
              <w:t xml:space="preserve">existants </w:t>
            </w:r>
            <w:r w:rsidRPr="00017576">
              <w:rPr>
                <w:rFonts w:eastAsia="SimSun" w:cs="Times New Roman"/>
                <w:snapToGrid w:val="0"/>
                <w:szCs w:val="24"/>
                <w:lang w:val="fr-FR"/>
              </w:rPr>
              <w:t>sur l’intérêt environnemental, social et économique de l’océan pour la société</w:t>
            </w:r>
          </w:p>
          <w:p w:rsidR="0010763A" w:rsidRDefault="0010763A" w:rsidP="00017576">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4.3.2</w:t>
            </w:r>
            <w:r>
              <w:rPr>
                <w:rFonts w:eastAsia="SimSun" w:cs="Times New Roman"/>
                <w:snapToGrid w:val="0"/>
                <w:szCs w:val="24"/>
                <w:lang w:val="fr-FR"/>
              </w:rPr>
              <w:tab/>
              <w:t xml:space="preserve">Évaluer l’efficacité </w:t>
            </w:r>
            <w:r w:rsidR="00CD3559">
              <w:rPr>
                <w:rFonts w:eastAsia="SimSun" w:cs="Times New Roman"/>
                <w:snapToGrid w:val="0"/>
                <w:szCs w:val="24"/>
                <w:lang w:val="fr-FR"/>
              </w:rPr>
              <w:br/>
            </w:r>
            <w:r>
              <w:rPr>
                <w:rFonts w:eastAsia="SimSun" w:cs="Times New Roman"/>
                <w:snapToGrid w:val="0"/>
                <w:szCs w:val="24"/>
                <w:lang w:val="fr-FR"/>
              </w:rPr>
              <w:t>de ces outils et étudier l’opportunité de nouveaux outils</w:t>
            </w:r>
          </w:p>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4.3.3</w:t>
            </w:r>
            <w:r>
              <w:rPr>
                <w:rFonts w:eastAsia="SimSun" w:cs="Times New Roman"/>
                <w:snapToGrid w:val="0"/>
                <w:szCs w:val="24"/>
                <w:lang w:val="fr-FR"/>
              </w:rPr>
              <w:tab/>
              <w:t>Nouer des partenariats avec des ex</w:t>
            </w:r>
            <w:r w:rsidR="00CD3559">
              <w:rPr>
                <w:rFonts w:eastAsia="SimSun" w:cs="Times New Roman"/>
                <w:snapToGrid w:val="0"/>
                <w:szCs w:val="24"/>
                <w:lang w:val="fr-FR"/>
              </w:rPr>
              <w:t>perts pour combler les lacunes</w:t>
            </w:r>
          </w:p>
        </w:tc>
      </w:tr>
      <w:tr w:rsidR="0010763A" w:rsidTr="00195EDC">
        <w:tc>
          <w:tcPr>
            <w:tcW w:w="3209" w:type="dxa"/>
            <w:vMerge w:val="restart"/>
          </w:tcPr>
          <w:p w:rsidR="0010763A" w:rsidRPr="00727C32" w:rsidRDefault="0010763A" w:rsidP="00727C32">
            <w:pPr>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t>5.</w:t>
            </w:r>
            <w:r>
              <w:rPr>
                <w:rFonts w:eastAsia="SimSun" w:cs="Times New Roman"/>
                <w:b/>
                <w:snapToGrid w:val="0"/>
                <w:szCs w:val="24"/>
                <w:lang w:val="fr-FR"/>
              </w:rPr>
              <w:tab/>
              <w:t>Renforcement de la recherche sur le changement des comportements humains, la communication scientifique et les effets de l’initiation à l’océan afin d’en améliorer l’efficacité</w:t>
            </w:r>
          </w:p>
        </w:tc>
        <w:tc>
          <w:tcPr>
            <w:tcW w:w="3209" w:type="dxa"/>
          </w:tcPr>
          <w:p w:rsidR="0010763A" w:rsidRPr="00590D03" w:rsidRDefault="0010763A" w:rsidP="001805ED">
            <w:pPr>
              <w:tabs>
                <w:tab w:val="left" w:pos="504"/>
              </w:tabs>
              <w:snapToGrid w:val="0"/>
              <w:spacing w:after="120" w:line="240" w:lineRule="auto"/>
              <w:ind w:left="504" w:right="-204" w:hanging="504"/>
              <w:rPr>
                <w:rFonts w:eastAsia="SimSun" w:cs="Times New Roman"/>
                <w:snapToGrid w:val="0"/>
                <w:szCs w:val="24"/>
                <w:lang w:val="fr-FR"/>
              </w:rPr>
            </w:pPr>
            <w:r>
              <w:rPr>
                <w:rFonts w:eastAsia="SimSun" w:cs="Times New Roman"/>
                <w:snapToGrid w:val="0"/>
                <w:szCs w:val="24"/>
                <w:lang w:val="fr-FR"/>
              </w:rPr>
              <w:t>5.1</w:t>
            </w:r>
            <w:r>
              <w:rPr>
                <w:rFonts w:eastAsia="SimSun" w:cs="Times New Roman"/>
                <w:snapToGrid w:val="0"/>
                <w:szCs w:val="24"/>
                <w:lang w:val="fr-FR"/>
              </w:rPr>
              <w:tab/>
            </w:r>
            <w:r w:rsidRPr="001805ED">
              <w:rPr>
                <w:rFonts w:eastAsia="SimSun" w:cs="Times New Roman"/>
                <w:snapToGrid w:val="0"/>
                <w:spacing w:val="-3"/>
                <w:szCs w:val="24"/>
                <w:lang w:val="fr-FR"/>
              </w:rPr>
              <w:t>Mettre en place des réseaux d’experts sur le changement des comportements, la communication scientifique et les études d’impact</w:t>
            </w:r>
          </w:p>
        </w:tc>
        <w:tc>
          <w:tcPr>
            <w:tcW w:w="3210" w:type="dxa"/>
          </w:tcPr>
          <w:p w:rsidR="0010763A" w:rsidRPr="00590D03" w:rsidRDefault="0010763A" w:rsidP="00727C32">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5.1.1</w:t>
            </w:r>
            <w:r>
              <w:rPr>
                <w:rFonts w:eastAsia="SimSun" w:cs="Times New Roman"/>
                <w:snapToGrid w:val="0"/>
                <w:szCs w:val="24"/>
                <w:lang w:val="fr-FR"/>
              </w:rPr>
              <w:tab/>
              <w:t>Identifier des experts en matière de changement des comportements, de communication scientifique et d’études d’impact</w:t>
            </w:r>
          </w:p>
        </w:tc>
      </w:tr>
      <w:tr w:rsidR="0010763A" w:rsidTr="00195EDC">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1805ED">
            <w:pPr>
              <w:tabs>
                <w:tab w:val="left" w:pos="504"/>
              </w:tabs>
              <w:snapToGrid w:val="0"/>
              <w:spacing w:after="120" w:line="240" w:lineRule="auto"/>
              <w:ind w:left="504" w:hanging="504"/>
              <w:rPr>
                <w:rFonts w:eastAsia="SimSun" w:cs="Times New Roman"/>
                <w:snapToGrid w:val="0"/>
                <w:szCs w:val="24"/>
                <w:lang w:val="fr-FR"/>
              </w:rPr>
            </w:pPr>
            <w:r>
              <w:rPr>
                <w:rFonts w:eastAsia="SimSun" w:cs="Times New Roman"/>
                <w:snapToGrid w:val="0"/>
                <w:szCs w:val="24"/>
                <w:lang w:val="fr-FR"/>
              </w:rPr>
              <w:t>5.2</w:t>
            </w:r>
            <w:r>
              <w:rPr>
                <w:rFonts w:eastAsia="SimSun" w:cs="Times New Roman"/>
                <w:snapToGrid w:val="0"/>
                <w:szCs w:val="24"/>
                <w:lang w:val="fr-FR"/>
              </w:rPr>
              <w:tab/>
              <w:t xml:space="preserve">Concevoir des outils </w:t>
            </w:r>
            <w:r w:rsidR="00CD3559">
              <w:rPr>
                <w:rFonts w:eastAsia="SimSun" w:cs="Times New Roman"/>
                <w:snapToGrid w:val="0"/>
                <w:szCs w:val="24"/>
                <w:lang w:val="fr-FR"/>
              </w:rPr>
              <w:br/>
            </w:r>
            <w:r>
              <w:rPr>
                <w:rFonts w:eastAsia="SimSun" w:cs="Times New Roman"/>
                <w:snapToGrid w:val="0"/>
                <w:szCs w:val="24"/>
                <w:lang w:val="fr-FR"/>
              </w:rPr>
              <w:t>pour faire évoluer les comportements, améliorer la communication scientifique et évaluer les effets de l’initiation à l’océan</w:t>
            </w:r>
          </w:p>
        </w:tc>
        <w:tc>
          <w:tcPr>
            <w:tcW w:w="3210" w:type="dxa"/>
          </w:tcPr>
          <w:p w:rsidR="0010763A" w:rsidRPr="00590D03" w:rsidRDefault="0010763A" w:rsidP="001805ED">
            <w:pPr>
              <w:tabs>
                <w:tab w:val="left" w:pos="567"/>
              </w:tabs>
              <w:snapToGrid w:val="0"/>
              <w:spacing w:after="120" w:line="240" w:lineRule="auto"/>
              <w:rPr>
                <w:rFonts w:eastAsia="SimSun" w:cs="Times New Roman"/>
                <w:snapToGrid w:val="0"/>
                <w:szCs w:val="24"/>
                <w:lang w:val="fr-FR"/>
              </w:rPr>
            </w:pPr>
            <w:r>
              <w:rPr>
                <w:rFonts w:eastAsia="SimSun" w:cs="Times New Roman"/>
                <w:snapToGrid w:val="0"/>
                <w:szCs w:val="24"/>
                <w:lang w:val="fr-FR"/>
              </w:rPr>
              <w:t>5.2.1</w:t>
            </w:r>
            <w:r>
              <w:rPr>
                <w:rFonts w:eastAsia="SimSun" w:cs="Times New Roman"/>
                <w:snapToGrid w:val="0"/>
                <w:szCs w:val="24"/>
                <w:lang w:val="fr-FR"/>
              </w:rPr>
              <w:tab/>
              <w:t xml:space="preserve">Identifier, en partenariat avec des experts, des possibilités de concevoir des outils novateurs pour faire évoluer les comportements, améliorer la communication scientifique et évaluer les effets de l’initiation à l’océan </w:t>
            </w:r>
          </w:p>
        </w:tc>
      </w:tr>
      <w:tr w:rsidR="0010763A" w:rsidTr="00195EDC">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1805ED">
            <w:pPr>
              <w:tabs>
                <w:tab w:val="left" w:pos="504"/>
              </w:tabs>
              <w:snapToGrid w:val="0"/>
              <w:spacing w:after="80" w:line="240" w:lineRule="auto"/>
              <w:ind w:left="504" w:hanging="504"/>
              <w:rPr>
                <w:rFonts w:eastAsia="SimSun" w:cs="Times New Roman"/>
                <w:snapToGrid w:val="0"/>
                <w:szCs w:val="24"/>
                <w:lang w:val="fr-FR"/>
              </w:rPr>
            </w:pPr>
            <w:r>
              <w:rPr>
                <w:rFonts w:eastAsia="SimSun" w:cs="Times New Roman"/>
                <w:snapToGrid w:val="0"/>
                <w:szCs w:val="24"/>
                <w:lang w:val="fr-FR"/>
              </w:rPr>
              <w:t>5.3</w:t>
            </w:r>
            <w:r>
              <w:rPr>
                <w:rFonts w:eastAsia="SimSun" w:cs="Times New Roman"/>
                <w:snapToGrid w:val="0"/>
                <w:szCs w:val="24"/>
                <w:lang w:val="fr-FR"/>
              </w:rPr>
              <w:tab/>
              <w:t>Promouvoir les projets de recherche sur le changement des comportements, la communication scientifique et les effets de l’initiation à l’océan</w:t>
            </w:r>
          </w:p>
        </w:tc>
        <w:tc>
          <w:tcPr>
            <w:tcW w:w="3210" w:type="dxa"/>
          </w:tcPr>
          <w:p w:rsidR="0010763A" w:rsidRDefault="0010763A" w:rsidP="009F14A2">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5.3.1</w:t>
            </w:r>
            <w:r>
              <w:rPr>
                <w:rFonts w:eastAsia="SimSun" w:cs="Times New Roman"/>
                <w:snapToGrid w:val="0"/>
                <w:szCs w:val="24"/>
                <w:lang w:val="fr-FR"/>
              </w:rPr>
              <w:tab/>
              <w:t>Recenser les éventuels projets sur le changement des comportements, la communication scientifique et les effets de l’initiation à l’océan</w:t>
            </w:r>
          </w:p>
          <w:p w:rsidR="0010763A" w:rsidRPr="00590D03" w:rsidRDefault="0010763A" w:rsidP="009F14A2">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lastRenderedPageBreak/>
              <w:t>5.3.2</w:t>
            </w:r>
            <w:r>
              <w:rPr>
                <w:rFonts w:eastAsia="SimSun" w:cs="Times New Roman"/>
                <w:snapToGrid w:val="0"/>
                <w:szCs w:val="24"/>
                <w:lang w:val="fr-FR"/>
              </w:rPr>
              <w:tab/>
              <w:t xml:space="preserve">Identifier les lacunes à combler dans ces domaines de recherche </w:t>
            </w:r>
          </w:p>
        </w:tc>
      </w:tr>
      <w:tr w:rsidR="0010763A" w:rsidTr="00F063ED">
        <w:tc>
          <w:tcPr>
            <w:tcW w:w="3209" w:type="dxa"/>
            <w:vMerge w:val="restart"/>
          </w:tcPr>
          <w:p w:rsidR="0010763A" w:rsidRPr="009F14A2" w:rsidRDefault="0010763A" w:rsidP="009F14A2">
            <w:pPr>
              <w:tabs>
                <w:tab w:val="left" w:pos="309"/>
              </w:tabs>
              <w:snapToGrid w:val="0"/>
              <w:spacing w:after="240" w:line="240" w:lineRule="auto"/>
              <w:ind w:left="309" w:hanging="309"/>
              <w:rPr>
                <w:rFonts w:eastAsia="SimSun" w:cs="Times New Roman"/>
                <w:b/>
                <w:snapToGrid w:val="0"/>
                <w:szCs w:val="24"/>
                <w:lang w:val="fr-FR"/>
              </w:rPr>
            </w:pPr>
            <w:r>
              <w:rPr>
                <w:rFonts w:eastAsia="SimSun" w:cs="Times New Roman"/>
                <w:b/>
                <w:snapToGrid w:val="0"/>
                <w:szCs w:val="24"/>
                <w:lang w:val="fr-FR"/>
              </w:rPr>
              <w:lastRenderedPageBreak/>
              <w:t>6.</w:t>
            </w:r>
            <w:r>
              <w:rPr>
                <w:rFonts w:eastAsia="SimSun" w:cs="Times New Roman"/>
                <w:b/>
                <w:snapToGrid w:val="0"/>
                <w:szCs w:val="24"/>
                <w:lang w:val="fr-FR"/>
              </w:rPr>
              <w:tab/>
              <w:t xml:space="preserve">Renforcement </w:t>
            </w:r>
            <w:r w:rsidR="00CD3559">
              <w:rPr>
                <w:rFonts w:eastAsia="SimSun" w:cs="Times New Roman"/>
                <w:b/>
                <w:snapToGrid w:val="0"/>
                <w:szCs w:val="24"/>
                <w:lang w:val="fr-FR"/>
              </w:rPr>
              <w:br/>
            </w:r>
            <w:r>
              <w:rPr>
                <w:rFonts w:eastAsia="SimSun" w:cs="Times New Roman"/>
                <w:b/>
                <w:snapToGrid w:val="0"/>
                <w:szCs w:val="24"/>
                <w:lang w:val="fr-FR"/>
              </w:rPr>
              <w:t xml:space="preserve">de la mobilisation </w:t>
            </w:r>
            <w:r w:rsidR="00CD3559">
              <w:rPr>
                <w:rFonts w:eastAsia="SimSun" w:cs="Times New Roman"/>
                <w:b/>
                <w:snapToGrid w:val="0"/>
                <w:szCs w:val="24"/>
                <w:lang w:val="fr-FR"/>
              </w:rPr>
              <w:br/>
            </w:r>
            <w:r>
              <w:rPr>
                <w:rFonts w:eastAsia="SimSun" w:cs="Times New Roman"/>
                <w:b/>
                <w:snapToGrid w:val="0"/>
                <w:szCs w:val="24"/>
                <w:lang w:val="fr-FR"/>
              </w:rPr>
              <w:t>de ressources</w:t>
            </w:r>
          </w:p>
        </w:tc>
        <w:tc>
          <w:tcPr>
            <w:tcW w:w="3209" w:type="dxa"/>
          </w:tcPr>
          <w:p w:rsidR="0010763A" w:rsidRPr="00590D03" w:rsidRDefault="0010763A" w:rsidP="009F14A2">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6.1</w:t>
            </w:r>
            <w:r>
              <w:rPr>
                <w:rFonts w:eastAsia="SimSun" w:cs="Times New Roman"/>
                <w:snapToGrid w:val="0"/>
                <w:szCs w:val="24"/>
                <w:lang w:val="fr-FR"/>
              </w:rPr>
              <w:tab/>
              <w:t>Rechercher des possibilités de contribution en nature</w:t>
            </w:r>
          </w:p>
        </w:tc>
        <w:tc>
          <w:tcPr>
            <w:tcW w:w="3210" w:type="dxa"/>
          </w:tcPr>
          <w:p w:rsidR="0010763A" w:rsidRPr="00590D03" w:rsidRDefault="0010763A" w:rsidP="00BC69CF">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6.1.1</w:t>
            </w:r>
            <w:r>
              <w:rPr>
                <w:rFonts w:eastAsia="SimSun" w:cs="Times New Roman"/>
                <w:snapToGrid w:val="0"/>
                <w:szCs w:val="24"/>
                <w:lang w:val="fr-FR"/>
              </w:rPr>
              <w:tab/>
              <w:t>Favoriser les partenariats afin d’accroître les contributions en nature</w:t>
            </w:r>
          </w:p>
        </w:tc>
      </w:tr>
      <w:tr w:rsidR="0010763A" w:rsidTr="00F063ED">
        <w:tc>
          <w:tcPr>
            <w:tcW w:w="3209" w:type="dxa"/>
            <w:vMerge/>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p>
        </w:tc>
        <w:tc>
          <w:tcPr>
            <w:tcW w:w="3209" w:type="dxa"/>
          </w:tcPr>
          <w:p w:rsidR="0010763A" w:rsidRPr="00590D03" w:rsidRDefault="0010763A" w:rsidP="00BC69CF">
            <w:pPr>
              <w:tabs>
                <w:tab w:val="left" w:pos="504"/>
              </w:tabs>
              <w:snapToGrid w:val="0"/>
              <w:spacing w:after="240" w:line="240" w:lineRule="auto"/>
              <w:ind w:left="504" w:hanging="504"/>
              <w:rPr>
                <w:rFonts w:eastAsia="SimSun" w:cs="Times New Roman"/>
                <w:snapToGrid w:val="0"/>
                <w:szCs w:val="24"/>
                <w:lang w:val="fr-FR"/>
              </w:rPr>
            </w:pPr>
            <w:r>
              <w:rPr>
                <w:rFonts w:eastAsia="SimSun" w:cs="Times New Roman"/>
                <w:snapToGrid w:val="0"/>
                <w:szCs w:val="24"/>
                <w:lang w:val="fr-FR"/>
              </w:rPr>
              <w:t>6.2</w:t>
            </w:r>
            <w:r>
              <w:rPr>
                <w:rFonts w:eastAsia="SimSun" w:cs="Times New Roman"/>
                <w:snapToGrid w:val="0"/>
                <w:szCs w:val="24"/>
                <w:lang w:val="fr-FR"/>
              </w:rPr>
              <w:tab/>
              <w:t>Obtenir l’appui financier d’États membres, du secteur privé et de philanthropes en faveur des activités de la COI</w:t>
            </w:r>
          </w:p>
        </w:tc>
        <w:tc>
          <w:tcPr>
            <w:tcW w:w="3210" w:type="dxa"/>
          </w:tcPr>
          <w:p w:rsidR="0010763A" w:rsidRPr="00590D03" w:rsidRDefault="0010763A" w:rsidP="00590D03">
            <w:pPr>
              <w:tabs>
                <w:tab w:val="left" w:pos="567"/>
              </w:tabs>
              <w:snapToGrid w:val="0"/>
              <w:spacing w:after="240" w:line="240" w:lineRule="auto"/>
              <w:rPr>
                <w:rFonts w:eastAsia="SimSun" w:cs="Times New Roman"/>
                <w:snapToGrid w:val="0"/>
                <w:szCs w:val="24"/>
                <w:lang w:val="fr-FR"/>
              </w:rPr>
            </w:pPr>
            <w:r>
              <w:rPr>
                <w:rFonts w:eastAsia="SimSun" w:cs="Times New Roman"/>
                <w:snapToGrid w:val="0"/>
                <w:szCs w:val="24"/>
                <w:lang w:val="fr-FR"/>
              </w:rPr>
              <w:t>6.2.1</w:t>
            </w:r>
            <w:r>
              <w:rPr>
                <w:rFonts w:eastAsia="SimSun" w:cs="Times New Roman"/>
                <w:snapToGrid w:val="0"/>
                <w:szCs w:val="24"/>
                <w:lang w:val="fr-FR"/>
              </w:rPr>
              <w:tab/>
              <w:t>Mobiliser des ressources auprès d’États membres, de partenaires institutionnels et de partenaires du secteur privé</w:t>
            </w:r>
          </w:p>
        </w:tc>
      </w:tr>
    </w:tbl>
    <w:p w:rsidR="00BC69CF" w:rsidRPr="00BC69CF" w:rsidRDefault="00BC69CF" w:rsidP="0010763A">
      <w:pPr>
        <w:keepNext/>
        <w:keepLines/>
        <w:tabs>
          <w:tab w:val="left" w:pos="567"/>
        </w:tabs>
        <w:snapToGrid w:val="0"/>
        <w:spacing w:before="360" w:after="240" w:line="240" w:lineRule="auto"/>
        <w:outlineLvl w:val="3"/>
        <w:rPr>
          <w:rFonts w:eastAsia="Times New Roman" w:cs="Times New Roman"/>
          <w:b/>
          <w:bCs/>
          <w:snapToGrid w:val="0"/>
          <w:szCs w:val="24"/>
          <w:lang w:val="fr-FR" w:eastAsia="en-US"/>
        </w:rPr>
      </w:pPr>
      <w:r w:rsidRPr="00BC69CF">
        <w:rPr>
          <w:rFonts w:eastAsia="Times New Roman" w:cs="Times New Roman"/>
          <w:b/>
          <w:bCs/>
          <w:snapToGrid w:val="0"/>
          <w:szCs w:val="24"/>
          <w:lang w:val="fr-FR" w:eastAsia="en-US"/>
        </w:rPr>
        <w:t>Incidences financières</w:t>
      </w:r>
    </w:p>
    <w:p w:rsidR="00F51D40" w:rsidRDefault="00BC69CF" w:rsidP="00F51D40">
      <w:pPr>
        <w:tabs>
          <w:tab w:val="left" w:pos="567"/>
        </w:tabs>
        <w:snapToGrid w:val="0"/>
        <w:spacing w:after="240" w:line="240" w:lineRule="auto"/>
        <w:jc w:val="both"/>
        <w:rPr>
          <w:rFonts w:eastAsia="SimSun" w:cs="Times New Roman"/>
          <w:snapToGrid w:val="0"/>
          <w:szCs w:val="24"/>
          <w:lang w:val="fr-FR"/>
        </w:rPr>
      </w:pPr>
      <w:r w:rsidRPr="00BC69CF">
        <w:rPr>
          <w:rFonts w:eastAsia="SimSun" w:cs="Times New Roman"/>
          <w:snapToGrid w:val="0"/>
          <w:szCs w:val="24"/>
          <w:lang w:val="fr-FR"/>
        </w:rPr>
        <w:t>10.</w:t>
      </w:r>
      <w:r w:rsidRPr="00BC69CF">
        <w:rPr>
          <w:rFonts w:eastAsia="SimSun" w:cs="Times New Roman"/>
          <w:snapToGrid w:val="0"/>
          <w:szCs w:val="24"/>
          <w:lang w:val="fr-FR"/>
        </w:rPr>
        <w:tab/>
      </w:r>
      <w:r>
        <w:rPr>
          <w:rFonts w:eastAsia="SimSun" w:cs="Times New Roman"/>
          <w:snapToGrid w:val="0"/>
          <w:szCs w:val="24"/>
          <w:lang w:val="fr-FR"/>
        </w:rPr>
        <w:t>Les coûts liés à la mise en œuvre des activités susmentionnées, y compris les coûts de personnel, sont estimés à environ 480 000 dollars des États-Unis par exercice biennal.</w:t>
      </w:r>
      <w:r w:rsidR="00F51D40" w:rsidRPr="00BC69CF">
        <w:rPr>
          <w:rFonts w:eastAsia="SimSun" w:cs="Times New Roman"/>
          <w:snapToGrid w:val="0"/>
          <w:szCs w:val="24"/>
          <w:lang w:val="fr-FR"/>
        </w:rPr>
        <w:t xml:space="preserve"> </w:t>
      </w:r>
    </w:p>
    <w:p w:rsidR="00CD3559" w:rsidRPr="00BC69CF" w:rsidRDefault="00CD3559" w:rsidP="00F51D40">
      <w:pPr>
        <w:tabs>
          <w:tab w:val="left" w:pos="567"/>
        </w:tabs>
        <w:snapToGrid w:val="0"/>
        <w:spacing w:after="240" w:line="240" w:lineRule="auto"/>
        <w:jc w:val="both"/>
        <w:rPr>
          <w:rFonts w:eastAsia="SimSun" w:cs="Times New Roman"/>
          <w:snapToGrid w:val="0"/>
          <w:szCs w:val="24"/>
          <w:lang w:val="fr-FR"/>
        </w:rPr>
      </w:pPr>
    </w:p>
    <w:sectPr w:rsidR="00CD3559" w:rsidRPr="00BC69CF" w:rsidSect="00B5195A">
      <w:headerReference w:type="even" r:id="rId20"/>
      <w:headerReference w:type="default" r:id="rId21"/>
      <w:headerReference w:type="first" r:id="rId22"/>
      <w:pgSz w:w="11906" w:h="16838" w:code="9"/>
      <w:pgMar w:top="1418"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78" w:rsidRDefault="00D55478">
      <w:pPr>
        <w:spacing w:after="0" w:line="240" w:lineRule="auto"/>
      </w:pPr>
      <w:r>
        <w:separator/>
      </w:r>
    </w:p>
  </w:endnote>
  <w:endnote w:type="continuationSeparator" w:id="0">
    <w:p w:rsidR="00D55478" w:rsidRDefault="00D5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78" w:rsidRDefault="00D55478">
      <w:pPr>
        <w:spacing w:after="0" w:line="240" w:lineRule="auto"/>
      </w:pPr>
      <w:r>
        <w:separator/>
      </w:r>
    </w:p>
  </w:footnote>
  <w:footnote w:type="continuationSeparator" w:id="0">
    <w:p w:rsidR="00D55478" w:rsidRDefault="00D55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003B31" w:rsidRDefault="00D55478" w:rsidP="00D55478">
    <w:pPr>
      <w:pStyle w:val="Header"/>
      <w:ind w:left="7088"/>
      <w:rPr>
        <w:rFonts w:cs="Arial"/>
        <w:lang w:val="fr-FR"/>
      </w:rPr>
    </w:pPr>
    <w:r w:rsidRPr="000C1232">
      <w:rPr>
        <w:rFonts w:cs="Arial"/>
        <w:lang w:val="fr-FR"/>
      </w:rPr>
      <w:t>I</w:t>
    </w:r>
    <w:r w:rsidR="000C1232" w:rsidRPr="000C1232">
      <w:rPr>
        <w:rFonts w:cs="Arial"/>
        <w:lang w:val="fr-FR"/>
      </w:rPr>
      <w:t>OC-XX</w:t>
    </w:r>
    <w:r w:rsidRPr="000C1232">
      <w:rPr>
        <w:rFonts w:cs="Arial"/>
        <w:lang w:val="fr-FR"/>
      </w:rPr>
      <w:t>X/2 Annex</w:t>
    </w:r>
    <w:r w:rsidR="000C1232" w:rsidRPr="000C1232">
      <w:rPr>
        <w:rFonts w:cs="Arial"/>
        <w:lang w:val="fr-FR"/>
      </w:rPr>
      <w:t>e</w:t>
    </w:r>
    <w:r w:rsidRPr="000C1232">
      <w:rPr>
        <w:rFonts w:cs="Arial"/>
        <w:lang w:val="fr-FR"/>
      </w:rPr>
      <w:t xml:space="preserve"> </w:t>
    </w:r>
    <w:r w:rsidR="000C1232" w:rsidRPr="000C1232">
      <w:rPr>
        <w:rFonts w:cs="Arial"/>
        <w:lang w:val="fr-FR"/>
      </w:rPr>
      <w:t>7</w:t>
    </w:r>
  </w:p>
  <w:p w:rsidR="00D55478" w:rsidRDefault="00D55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E7798B" w:rsidRDefault="00D55478" w:rsidP="00D55478">
    <w:pPr>
      <w:pStyle w:val="Header"/>
      <w:rPr>
        <w:rFonts w:cs="Arial"/>
      </w:rPr>
    </w:pPr>
    <w:r w:rsidRPr="00E7798B">
      <w:rPr>
        <w:rFonts w:cs="Arial"/>
      </w:rPr>
      <w:t>I</w:t>
    </w:r>
    <w:r w:rsidR="000C1232">
      <w:rPr>
        <w:rFonts w:cs="Arial"/>
      </w:rPr>
      <w:t>OC-XXX/2 Annexe 7</w:t>
    </w:r>
  </w:p>
  <w:p w:rsidR="00D55478" w:rsidRPr="00E7798B" w:rsidRDefault="00D55478" w:rsidP="00D55478">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5E6CE7" w:rsidRDefault="00D55478" w:rsidP="00A645BB">
    <w:pPr>
      <w:tabs>
        <w:tab w:val="left" w:pos="567"/>
        <w:tab w:val="left" w:pos="6096"/>
      </w:tabs>
      <w:snapToGrid w:val="0"/>
      <w:spacing w:after="120" w:line="240" w:lineRule="auto"/>
      <w:jc w:val="both"/>
      <w:rPr>
        <w:rFonts w:eastAsia="Times New Roman" w:cs="Arial"/>
        <w:b/>
        <w:snapToGrid w:val="0"/>
        <w:lang w:val="fr-FR"/>
      </w:rPr>
    </w:pPr>
    <w:r w:rsidRPr="005E6CE7">
      <w:rPr>
        <w:rFonts w:eastAsia="Times New Roman" w:cs="Arial"/>
        <w:snapToGrid w:val="0"/>
        <w:lang w:val="fr-FR"/>
      </w:rPr>
      <w:t>Distribution limitée</w:t>
    </w:r>
    <w:r w:rsidRPr="005E6CE7">
      <w:rPr>
        <w:rFonts w:eastAsia="Times New Roman" w:cs="Arial"/>
        <w:snapToGrid w:val="0"/>
        <w:lang w:val="fr-FR"/>
      </w:rPr>
      <w:tab/>
    </w:r>
    <w:r w:rsidRPr="005E6CE7">
      <w:rPr>
        <w:rFonts w:eastAsia="Times New Roman" w:cs="Arial"/>
        <w:b/>
        <w:snapToGrid w:val="0"/>
        <w:sz w:val="36"/>
        <w:szCs w:val="36"/>
        <w:lang w:val="fr-FR"/>
      </w:rPr>
      <w:t>IOC-XXX/2 Annexe </w:t>
    </w:r>
    <w:r>
      <w:rPr>
        <w:rFonts w:eastAsia="Times New Roman" w:cs="Arial"/>
        <w:b/>
        <w:snapToGrid w:val="0"/>
        <w:sz w:val="36"/>
        <w:szCs w:val="36"/>
        <w:lang w:val="fr-FR"/>
      </w:rPr>
      <w:t>7</w:t>
    </w:r>
  </w:p>
  <w:p w:rsidR="00D55478" w:rsidRPr="005E6CE7" w:rsidRDefault="00D55478" w:rsidP="005F0B46">
    <w:pPr>
      <w:tabs>
        <w:tab w:val="left" w:pos="6096"/>
      </w:tabs>
      <w:snapToGrid w:val="0"/>
      <w:spacing w:after="0" w:line="240" w:lineRule="auto"/>
      <w:jc w:val="both"/>
      <w:rPr>
        <w:rFonts w:eastAsia="Times New Roman" w:cs="Arial"/>
        <w:snapToGrid w:val="0"/>
        <w:lang w:val="fr-FR"/>
      </w:rPr>
    </w:pPr>
    <w:r w:rsidRPr="005E6CE7">
      <w:rPr>
        <w:rFonts w:eastAsia="Times New Roman" w:cs="Arial"/>
        <w:b/>
        <w:snapToGrid w:val="0"/>
        <w:lang w:val="fr-FR"/>
      </w:rPr>
      <w:tab/>
    </w:r>
    <w:r w:rsidRPr="005E6CE7">
      <w:rPr>
        <w:rFonts w:eastAsia="Times New Roman" w:cs="Arial"/>
        <w:snapToGrid w:val="0"/>
        <w:lang w:val="fr-FR"/>
      </w:rPr>
      <w:t>Paris, 5 mai 2019</w:t>
    </w:r>
  </w:p>
  <w:p w:rsidR="00D55478" w:rsidRPr="005E6CE7" w:rsidRDefault="00D55478" w:rsidP="005F0B46">
    <w:pPr>
      <w:tabs>
        <w:tab w:val="left" w:pos="6096"/>
      </w:tabs>
      <w:snapToGrid w:val="0"/>
      <w:spacing w:after="0" w:line="240" w:lineRule="auto"/>
      <w:jc w:val="both"/>
      <w:rPr>
        <w:rFonts w:eastAsia="Times New Roman" w:cs="Arial"/>
        <w:snapToGrid w:val="0"/>
        <w:lang w:val="fr-FR"/>
      </w:rPr>
    </w:pPr>
    <w:r w:rsidRPr="005E6CE7">
      <w:rPr>
        <w:rFonts w:eastAsia="Times New Roman" w:cs="Arial"/>
        <w:b/>
        <w:snapToGrid w:val="0"/>
        <w:lang w:val="fr-FR"/>
      </w:rPr>
      <w:tab/>
    </w:r>
    <w:r w:rsidRPr="005E6CE7">
      <w:rPr>
        <w:rFonts w:eastAsia="Times New Roman" w:cs="Arial"/>
        <w:snapToGrid w:val="0"/>
        <w:lang w:val="fr-FR"/>
      </w:rPr>
      <w:t>Original anglais</w:t>
    </w:r>
  </w:p>
  <w:p w:rsidR="00D55478" w:rsidRPr="005E6CE7" w:rsidRDefault="00D55478" w:rsidP="00D55478">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rsidR="00D55478" w:rsidRPr="005E6CE7" w:rsidRDefault="00D55478" w:rsidP="00D55478">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rsidR="00D55478" w:rsidRPr="005E6CE7" w:rsidRDefault="00D55478" w:rsidP="00D55478">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22"/>
      <w:rPr>
        <w:rFonts w:eastAsia="Times New Roman" w:cs="Arial"/>
        <w:b/>
        <w:snapToGrid w:val="0"/>
        <w:spacing w:val="-14"/>
        <w:sz w:val="24"/>
        <w:szCs w:val="24"/>
        <w:lang w:val="fr-FR"/>
      </w:rPr>
    </w:pPr>
    <w:r w:rsidRPr="00943AD2">
      <w:rPr>
        <w:rFonts w:eastAsia="Times New Roman" w:cs="Arial"/>
        <w:noProof/>
        <w:spacing w:val="-14"/>
        <w:sz w:val="24"/>
        <w:szCs w:val="24"/>
        <w:lang w:val="en-US" w:eastAsia="en-US"/>
      </w:rPr>
      <w:drawing>
        <wp:anchor distT="0" distB="0" distL="114300" distR="114300" simplePos="0" relativeHeight="251659264" behindDoc="1" locked="0" layoutInCell="1" allowOverlap="1" wp14:anchorId="35D9EF43" wp14:editId="04BCA726">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CE7">
      <w:rPr>
        <w:rFonts w:eastAsia="Times New Roman" w:cs="Arial"/>
        <w:b/>
        <w:snapToGrid w:val="0"/>
        <w:spacing w:val="-14"/>
        <w:sz w:val="24"/>
        <w:szCs w:val="24"/>
        <w:lang w:val="fr-FR"/>
      </w:rPr>
      <w:t>COMMISSION OCÉANOGRAPHIQUE INTERGOUVERNEMENTALE</w:t>
    </w:r>
  </w:p>
  <w:p w:rsidR="00D55478" w:rsidRPr="005E6CE7" w:rsidRDefault="00D55478" w:rsidP="00D55478">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eastAsia="Times New Roman" w:cs="Arial"/>
        <w:b/>
        <w:bCs/>
        <w:snapToGrid w:val="0"/>
        <w:sz w:val="24"/>
        <w:szCs w:val="24"/>
        <w:lang w:val="fr-FR"/>
      </w:rPr>
    </w:pPr>
    <w:r w:rsidRPr="005E6CE7">
      <w:rPr>
        <w:rFonts w:eastAsia="Times New Roman" w:cs="Arial"/>
        <w:b/>
        <w:bCs/>
        <w:snapToGrid w:val="0"/>
        <w:sz w:val="24"/>
        <w:szCs w:val="24"/>
        <w:lang w:val="fr-FR"/>
      </w:rPr>
      <w:t>(de l’UNESCO)</w:t>
    </w:r>
  </w:p>
  <w:p w:rsidR="00D55478" w:rsidRPr="005E6CE7" w:rsidRDefault="00D55478" w:rsidP="00D55478">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lang w:val="fr-FR"/>
      </w:rPr>
    </w:pPr>
  </w:p>
  <w:p w:rsidR="00D55478" w:rsidRPr="005E6CE7" w:rsidRDefault="00D55478" w:rsidP="00D55478">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5E6CE7">
      <w:rPr>
        <w:rFonts w:eastAsia="Times New Roman" w:cs="Arial"/>
        <w:b/>
        <w:snapToGrid w:val="0"/>
        <w:sz w:val="24"/>
        <w:szCs w:val="24"/>
        <w:lang w:val="fr-FR"/>
      </w:rPr>
      <w:t>Trentième session de l'Assemblée</w:t>
    </w:r>
  </w:p>
  <w:p w:rsidR="00D55478" w:rsidRPr="00DC5BF5" w:rsidRDefault="00D55478" w:rsidP="00D55478">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snapToGrid w:val="0"/>
        <w:sz w:val="24"/>
        <w:szCs w:val="24"/>
        <w:lang w:val="fr-FR"/>
      </w:rPr>
    </w:pPr>
    <w:r w:rsidRPr="00DC5BF5">
      <w:rPr>
        <w:rFonts w:eastAsia="Times New Roman" w:cs="Arial"/>
        <w:snapToGrid w:val="0"/>
        <w:sz w:val="24"/>
        <w:szCs w:val="24"/>
        <w:lang w:val="fr-FR"/>
      </w:rPr>
      <w:t>UNESCO, Paris, 26 juin – 4 juillet 2019</w:t>
    </w:r>
  </w:p>
  <w:p w:rsidR="00D55478" w:rsidRPr="00DC5BF5" w:rsidRDefault="00D55478" w:rsidP="00D55478">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eastAsia="Times New Roman" w:cs="Arial"/>
        <w:bCs/>
        <w:snapToGrid w:val="0"/>
        <w:lang w:val="fr-FR"/>
      </w:rPr>
    </w:pPr>
  </w:p>
  <w:p w:rsidR="00D55478" w:rsidRPr="00DC5BF5" w:rsidRDefault="00D55478" w:rsidP="00D55478">
    <w:pPr>
      <w:tabs>
        <w:tab w:val="left" w:pos="567"/>
      </w:tabs>
      <w:snapToGrid w:val="0"/>
      <w:spacing w:after="0" w:line="240" w:lineRule="auto"/>
      <w:jc w:val="center"/>
      <w:rPr>
        <w:rFonts w:eastAsia="Times New Roman" w:cs="Arial"/>
        <w:snapToGrid w:val="0"/>
        <w:lang w:val="fr-FR"/>
      </w:rPr>
    </w:pPr>
  </w:p>
  <w:p w:rsidR="00D55478" w:rsidRPr="005E6CE7" w:rsidRDefault="00D55478" w:rsidP="00A645BB">
    <w:pPr>
      <w:tabs>
        <w:tab w:val="left" w:pos="567"/>
        <w:tab w:val="center" w:pos="4808"/>
      </w:tabs>
      <w:snapToGrid w:val="0"/>
      <w:spacing w:before="1080" w:after="480" w:line="240" w:lineRule="auto"/>
      <w:rPr>
        <w:rFonts w:eastAsia="Times New Roman" w:cs="Times New Roman"/>
        <w:snapToGrid w:val="0"/>
        <w:szCs w:val="24"/>
        <w:u w:val="single"/>
        <w:lang w:val="fr-FR"/>
      </w:rPr>
    </w:pPr>
    <w:r w:rsidRPr="005E6CE7">
      <w:rPr>
        <w:rFonts w:eastAsia="Times New Roman" w:cs="Times New Roman"/>
        <w:snapToGrid w:val="0"/>
        <w:szCs w:val="24"/>
        <w:u w:val="single"/>
        <w:lang w:val="fr-FR"/>
      </w:rPr>
      <w:t xml:space="preserve">Point </w:t>
    </w:r>
    <w:r w:rsidRPr="005E6CE7">
      <w:rPr>
        <w:rFonts w:eastAsia="Times New Roman" w:cs="Times New Roman"/>
        <w:b/>
        <w:snapToGrid w:val="0"/>
        <w:szCs w:val="24"/>
        <w:u w:val="single"/>
        <w:lang w:val="fr-FR"/>
      </w:rPr>
      <w:t>11.</w:t>
    </w:r>
    <w:r>
      <w:rPr>
        <w:rFonts w:eastAsia="Times New Roman" w:cs="Times New Roman"/>
        <w:b/>
        <w:snapToGrid w:val="0"/>
        <w:szCs w:val="24"/>
        <w:u w:val="single"/>
        <w:lang w:val="fr-FR"/>
      </w:rPr>
      <w:t>2</w:t>
    </w:r>
    <w:r w:rsidRPr="005E6CE7">
      <w:rPr>
        <w:rFonts w:eastAsia="Times New Roman" w:cs="Times New Roman"/>
        <w:snapToGrid w:val="0"/>
        <w:szCs w:val="24"/>
        <w:u w:val="single"/>
        <w:lang w:val="fr-FR"/>
      </w:rPr>
      <w:t xml:space="preserve"> de l'ordre du jour provisoire</w:t>
    </w:r>
  </w:p>
  <w:p w:rsidR="00D55478" w:rsidRPr="005E6CE7" w:rsidRDefault="00D55478" w:rsidP="0078189C">
    <w:pPr>
      <w:tabs>
        <w:tab w:val="left" w:pos="567"/>
        <w:tab w:val="center" w:pos="4153"/>
        <w:tab w:val="right" w:pos="8306"/>
      </w:tabs>
      <w:snapToGrid w:val="0"/>
      <w:spacing w:after="480" w:line="240" w:lineRule="auto"/>
      <w:jc w:val="center"/>
      <w:rPr>
        <w:rFonts w:eastAsia="Times New Roman" w:cs="Arial"/>
        <w:b/>
        <w:bCs/>
        <w:caps/>
        <w:snapToGrid w:val="0"/>
        <w:lang w:val="fr-FR"/>
      </w:rPr>
    </w:pPr>
    <w:r w:rsidRPr="005E6CE7">
      <w:rPr>
        <w:rFonts w:eastAsia="Times New Roman" w:cs="Arial"/>
        <w:b/>
        <w:bCs/>
        <w:caps/>
        <w:snapToGrid w:val="0"/>
        <w:lang w:val="fr-FR"/>
      </w:rPr>
      <w:t xml:space="preserve">CONTRIBUTION DE LA COI EN MATIÈRE D’INITIATION À L’OCÉAN </w:t>
    </w:r>
    <w:r w:rsidRPr="005E6CE7">
      <w:rPr>
        <w:rFonts w:eastAsia="Times New Roman" w:cs="Arial"/>
        <w:b/>
        <w:bCs/>
        <w:caps/>
        <w:snapToGrid w:val="0"/>
        <w:lang w:val="fr-FR"/>
      </w:rPr>
      <w:br/>
      <w:t>EN 2018-2021 : PLAN D’ACTION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B5195A" w:rsidRDefault="00D55478" w:rsidP="00B5195A">
    <w:pPr>
      <w:pStyle w:val="Header"/>
      <w:jc w:val="both"/>
      <w:rPr>
        <w:rFonts w:cs="Arial"/>
        <w:lang w:val="fr-FR"/>
      </w:rPr>
    </w:pPr>
    <w:r w:rsidRPr="00E7798B">
      <w:rPr>
        <w:rFonts w:cs="Arial"/>
        <w:lang w:val="fr-FR"/>
      </w:rPr>
      <w:t>I</w:t>
    </w:r>
    <w:r w:rsidR="00B5195A">
      <w:rPr>
        <w:rFonts w:cs="Arial"/>
        <w:lang w:val="fr-FR"/>
      </w:rPr>
      <w:t xml:space="preserve">OC-XXX/2 Annexe 7 – </w:t>
    </w:r>
    <w:r w:rsidRPr="00E7798B">
      <w:rPr>
        <w:rFonts w:cs="Arial"/>
        <w:lang w:val="fr-FR"/>
      </w:rPr>
      <w:t>page </w:t>
    </w:r>
    <w:r w:rsidRPr="00E7798B">
      <w:rPr>
        <w:rStyle w:val="PageNumber"/>
        <w:rFonts w:cs="Arial"/>
      </w:rPr>
      <w:fldChar w:fldCharType="begin"/>
    </w:r>
    <w:r w:rsidRPr="00E7798B">
      <w:rPr>
        <w:rStyle w:val="PageNumber"/>
        <w:rFonts w:cs="Arial"/>
        <w:lang w:val="fr-FR"/>
      </w:rPr>
      <w:instrText xml:space="preserve"> PAGE </w:instrText>
    </w:r>
    <w:r w:rsidRPr="00E7798B">
      <w:rPr>
        <w:rStyle w:val="PageNumber"/>
        <w:rFonts w:cs="Arial"/>
      </w:rPr>
      <w:fldChar w:fldCharType="separate"/>
    </w:r>
    <w:r w:rsidR="00CD4AE3">
      <w:rPr>
        <w:rStyle w:val="PageNumber"/>
        <w:rFonts w:cs="Arial"/>
        <w:noProof/>
        <w:lang w:val="fr-FR"/>
      </w:rPr>
      <w:t>10</w:t>
    </w:r>
    <w:r w:rsidRPr="00E7798B">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E7798B" w:rsidRDefault="00D55478" w:rsidP="00B5195A">
    <w:pPr>
      <w:pStyle w:val="Header"/>
      <w:tabs>
        <w:tab w:val="clear" w:pos="9600"/>
      </w:tabs>
      <w:ind w:right="140"/>
      <w:jc w:val="right"/>
      <w:rPr>
        <w:rFonts w:cs="Arial"/>
      </w:rPr>
    </w:pPr>
    <w:r w:rsidRPr="00E7798B">
      <w:rPr>
        <w:rFonts w:cs="Arial"/>
      </w:rPr>
      <w:t>IOC-XXX/2 Annex</w:t>
    </w:r>
    <w:r>
      <w:rPr>
        <w:rFonts w:cs="Arial"/>
      </w:rPr>
      <w:t>e</w:t>
    </w:r>
    <w:r w:rsidRPr="00E7798B">
      <w:rPr>
        <w:rFonts w:cs="Arial"/>
      </w:rPr>
      <w:t xml:space="preserve"> </w:t>
    </w:r>
    <w:r>
      <w:rPr>
        <w:rFonts w:cs="Arial"/>
      </w:rPr>
      <w:t>7</w:t>
    </w:r>
    <w:r w:rsidR="00F63CC1">
      <w:rPr>
        <w:rFonts w:cs="Arial"/>
      </w:rPr>
      <w:t xml:space="preserve"> – page </w:t>
    </w:r>
    <w:r w:rsidRPr="006E7A21">
      <w:rPr>
        <w:rFonts w:cs="Arial"/>
      </w:rPr>
      <w:fldChar w:fldCharType="begin"/>
    </w:r>
    <w:r w:rsidRPr="006E7A21">
      <w:rPr>
        <w:rFonts w:cs="Arial"/>
      </w:rPr>
      <w:instrText>PAGE   \* MERGEFORMAT</w:instrText>
    </w:r>
    <w:r w:rsidRPr="006E7A21">
      <w:rPr>
        <w:rFonts w:cs="Arial"/>
      </w:rPr>
      <w:fldChar w:fldCharType="separate"/>
    </w:r>
    <w:r w:rsidR="00CD4AE3" w:rsidRPr="00CD4AE3">
      <w:rPr>
        <w:rFonts w:cs="Arial"/>
        <w:noProof/>
        <w:lang w:val="fr-FR"/>
      </w:rPr>
      <w:t>9</w:t>
    </w:r>
    <w:r w:rsidRPr="006E7A21">
      <w:rP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78" w:rsidRPr="005E6CE7" w:rsidRDefault="00D55478" w:rsidP="00313F56">
    <w:pPr>
      <w:pStyle w:val="Header"/>
      <w:spacing w:after="240"/>
      <w:rPr>
        <w:rFonts w:eastAsia="Times New Roman" w:cs="Arial"/>
        <w:snapToGrid w:val="0"/>
        <w:lang w:val="fr-FR"/>
      </w:rPr>
    </w:pPr>
    <w:r w:rsidRPr="005E6CE7">
      <w:rPr>
        <w:rFonts w:eastAsia="Times New Roman" w:cs="Arial"/>
        <w:snapToGrid w:val="0"/>
        <w:lang w:val="fr-FR"/>
      </w:rPr>
      <w:t>IOC-XXX/</w:t>
    </w:r>
    <w:r>
      <w:rPr>
        <w:rFonts w:eastAsia="Times New Roman" w:cs="Arial"/>
        <w:snapToGrid w:val="0"/>
        <w:lang w:val="fr-FR"/>
      </w:rPr>
      <w:t>2</w:t>
    </w:r>
    <w:r w:rsidRPr="005E6CE7">
      <w:rPr>
        <w:rFonts w:eastAsia="Times New Roman" w:cs="Arial"/>
        <w:snapToGrid w:val="0"/>
        <w:lang w:val="fr-FR"/>
      </w:rPr>
      <w:t xml:space="preserve"> Annexe </w:t>
    </w:r>
    <w:r>
      <w:rPr>
        <w:rFonts w:eastAsia="Times New Roman" w:cs="Arial"/>
        <w:snapToGrid w:val="0"/>
        <w:lang w:val="fr-FR"/>
      </w:rPr>
      <w:t>7</w:t>
    </w:r>
    <w:r w:rsidRPr="005E6CE7">
      <w:rPr>
        <w:rFonts w:eastAsia="Times New Roman" w:cs="Arial"/>
        <w:snapToGrid w:val="0"/>
        <w:lang w:val="fr-FR"/>
      </w:rPr>
      <w:t xml:space="preserve"> – page </w:t>
    </w:r>
    <w:r w:rsidRPr="00E7798B">
      <w:rPr>
        <w:rFonts w:eastAsia="Times New Roman" w:cs="Arial"/>
        <w:snapToGrid w:val="0"/>
      </w:rPr>
      <w:fldChar w:fldCharType="begin"/>
    </w:r>
    <w:r w:rsidRPr="005E6CE7">
      <w:rPr>
        <w:rFonts w:eastAsia="Times New Roman" w:cs="Arial"/>
        <w:snapToGrid w:val="0"/>
        <w:lang w:val="fr-FR"/>
      </w:rPr>
      <w:instrText>PAGE   \* MERGEFORMAT</w:instrText>
    </w:r>
    <w:r w:rsidRPr="00E7798B">
      <w:rPr>
        <w:rFonts w:eastAsia="Times New Roman" w:cs="Arial"/>
        <w:snapToGrid w:val="0"/>
      </w:rPr>
      <w:fldChar w:fldCharType="separate"/>
    </w:r>
    <w:r w:rsidR="00CD4AE3">
      <w:rPr>
        <w:rFonts w:eastAsia="Times New Roman" w:cs="Arial"/>
        <w:noProof/>
        <w:snapToGrid w:val="0"/>
        <w:lang w:val="fr-FR"/>
      </w:rPr>
      <w:t>2</w:t>
    </w:r>
    <w:r w:rsidRPr="00E7798B">
      <w:rPr>
        <w:rFonts w:eastAsia="Times New Roman" w:cs="Arial"/>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F6D"/>
    <w:multiLevelType w:val="hybridMultilevel"/>
    <w:tmpl w:val="C11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104BF"/>
    <w:rsid w:val="00017576"/>
    <w:rsid w:val="0002396B"/>
    <w:rsid w:val="00046C31"/>
    <w:rsid w:val="00064200"/>
    <w:rsid w:val="000849CA"/>
    <w:rsid w:val="000C1232"/>
    <w:rsid w:val="000C6244"/>
    <w:rsid w:val="0010763A"/>
    <w:rsid w:val="00135480"/>
    <w:rsid w:val="001805ED"/>
    <w:rsid w:val="00183600"/>
    <w:rsid w:val="001C32A1"/>
    <w:rsid w:val="002052A7"/>
    <w:rsid w:val="0021028A"/>
    <w:rsid w:val="003117C2"/>
    <w:rsid w:val="00313F56"/>
    <w:rsid w:val="003322D4"/>
    <w:rsid w:val="00344601"/>
    <w:rsid w:val="00351699"/>
    <w:rsid w:val="00364E67"/>
    <w:rsid w:val="003A533E"/>
    <w:rsid w:val="003C4D96"/>
    <w:rsid w:val="003E08B5"/>
    <w:rsid w:val="00444976"/>
    <w:rsid w:val="00470BFA"/>
    <w:rsid w:val="00486BC5"/>
    <w:rsid w:val="004A0312"/>
    <w:rsid w:val="004A6C6A"/>
    <w:rsid w:val="004C5CD0"/>
    <w:rsid w:val="004D13CE"/>
    <w:rsid w:val="0059001E"/>
    <w:rsid w:val="00590D03"/>
    <w:rsid w:val="005A015D"/>
    <w:rsid w:val="005A1F71"/>
    <w:rsid w:val="005B7376"/>
    <w:rsid w:val="005E17C4"/>
    <w:rsid w:val="005E1D48"/>
    <w:rsid w:val="005E6CE7"/>
    <w:rsid w:val="005F0B46"/>
    <w:rsid w:val="00613CB5"/>
    <w:rsid w:val="00617516"/>
    <w:rsid w:val="006528DE"/>
    <w:rsid w:val="006743C2"/>
    <w:rsid w:val="006A66BB"/>
    <w:rsid w:val="006A7D3D"/>
    <w:rsid w:val="006C632B"/>
    <w:rsid w:val="006E15D7"/>
    <w:rsid w:val="006F25BC"/>
    <w:rsid w:val="00727C32"/>
    <w:rsid w:val="00737936"/>
    <w:rsid w:val="00743238"/>
    <w:rsid w:val="00761010"/>
    <w:rsid w:val="007748FC"/>
    <w:rsid w:val="00775EE8"/>
    <w:rsid w:val="0078189C"/>
    <w:rsid w:val="007930D6"/>
    <w:rsid w:val="007B3479"/>
    <w:rsid w:val="007D1D8A"/>
    <w:rsid w:val="00822679"/>
    <w:rsid w:val="00842966"/>
    <w:rsid w:val="0085304B"/>
    <w:rsid w:val="00862A71"/>
    <w:rsid w:val="008737E9"/>
    <w:rsid w:val="008A403D"/>
    <w:rsid w:val="008B44BE"/>
    <w:rsid w:val="008B59F1"/>
    <w:rsid w:val="008E327B"/>
    <w:rsid w:val="00936BC5"/>
    <w:rsid w:val="009C4F4C"/>
    <w:rsid w:val="009C7C63"/>
    <w:rsid w:val="009F14A2"/>
    <w:rsid w:val="009F7E7E"/>
    <w:rsid w:val="00A645BB"/>
    <w:rsid w:val="00A717A3"/>
    <w:rsid w:val="00A80569"/>
    <w:rsid w:val="00AB495B"/>
    <w:rsid w:val="00AC01E1"/>
    <w:rsid w:val="00AD6C7D"/>
    <w:rsid w:val="00AE01F9"/>
    <w:rsid w:val="00AF7B6C"/>
    <w:rsid w:val="00B039BE"/>
    <w:rsid w:val="00B12F65"/>
    <w:rsid w:val="00B405B4"/>
    <w:rsid w:val="00B47A55"/>
    <w:rsid w:val="00B5195A"/>
    <w:rsid w:val="00B53A2D"/>
    <w:rsid w:val="00B957E1"/>
    <w:rsid w:val="00BB01BD"/>
    <w:rsid w:val="00BC22F5"/>
    <w:rsid w:val="00BC69CF"/>
    <w:rsid w:val="00BF3908"/>
    <w:rsid w:val="00C63308"/>
    <w:rsid w:val="00C94A41"/>
    <w:rsid w:val="00CB5096"/>
    <w:rsid w:val="00CD3559"/>
    <w:rsid w:val="00CD4AE3"/>
    <w:rsid w:val="00D20BDC"/>
    <w:rsid w:val="00D55478"/>
    <w:rsid w:val="00D56F25"/>
    <w:rsid w:val="00DB4C83"/>
    <w:rsid w:val="00DC1042"/>
    <w:rsid w:val="00DC42CB"/>
    <w:rsid w:val="00DC5BF5"/>
    <w:rsid w:val="00DD5308"/>
    <w:rsid w:val="00E87DAA"/>
    <w:rsid w:val="00EB0811"/>
    <w:rsid w:val="00EC2CF7"/>
    <w:rsid w:val="00EE6110"/>
    <w:rsid w:val="00F2294C"/>
    <w:rsid w:val="00F51D40"/>
    <w:rsid w:val="00F63CC1"/>
    <w:rsid w:val="00F925A2"/>
    <w:rsid w:val="00F9676B"/>
    <w:rsid w:val="00FC2337"/>
    <w:rsid w:val="00FD21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tabs>
        <w:tab w:val="left" w:pos="567"/>
      </w:tabs>
      <w:spacing w:before="480" w:after="240"/>
      <w:ind w:left="567" w:hanging="567"/>
      <w:outlineLvl w:val="1"/>
    </w:pPr>
    <w:rPr>
      <w:b/>
      <w:bCs/>
      <w:caps/>
    </w:rPr>
  </w:style>
  <w:style w:type="paragraph" w:styleId="Heading3">
    <w:name w:val="heading 3"/>
    <w:basedOn w:val="Normal"/>
    <w:next w:val="Marge"/>
    <w:qFormat/>
    <w:pPr>
      <w:keepNext/>
      <w:keepLines/>
      <w:spacing w:after="240"/>
      <w:ind w:left="567" w:hanging="567"/>
      <w:outlineLvl w:val="2"/>
    </w:pPr>
    <w:rPr>
      <w:b/>
      <w:bCs/>
    </w:rPr>
  </w:style>
  <w:style w:type="paragraph" w:styleId="Heading4">
    <w:name w:val="heading 4"/>
    <w:basedOn w:val="Normal"/>
    <w:next w:val="Marge"/>
    <w:qFormat/>
    <w:pPr>
      <w:keepNext/>
      <w:keepLines/>
      <w:tabs>
        <w:tab w:val="left" w:pos="567"/>
      </w:tab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link w:val="HeaderChar"/>
    <w:pPr>
      <w:tabs>
        <w:tab w:val="right" w:pos="9600"/>
      </w:tabs>
    </w:pPr>
    <w:rPr>
      <w:sz w:val="20"/>
      <w:szCs w:val="20"/>
    </w:rPr>
  </w:style>
  <w:style w:type="paragraph" w:customStyle="1" w:styleId="Marge">
    <w:name w:val="Marge"/>
    <w:basedOn w:val="Normal"/>
    <w:link w:val="MargeChar"/>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F925A2"/>
    <w:rPr>
      <w:rFonts w:ascii="Arial" w:eastAsiaTheme="minorEastAsia" w:hAnsi="Arial" w:cstheme="minorBidi"/>
      <w:sz w:val="22"/>
      <w:szCs w:val="22"/>
      <w:lang w:val="en-GB" w:eastAsia="zh-CN"/>
    </w:rPr>
  </w:style>
  <w:style w:type="paragraph" w:styleId="BodyText2">
    <w:name w:val="Body Text 2"/>
    <w:basedOn w:val="Normal"/>
    <w:link w:val="BodyText2Char"/>
    <w:rsid w:val="005E6CE7"/>
    <w:pPr>
      <w:spacing w:after="120" w:line="480" w:lineRule="auto"/>
    </w:pPr>
  </w:style>
  <w:style w:type="character" w:customStyle="1" w:styleId="BodyText2Char">
    <w:name w:val="Body Text 2 Char"/>
    <w:basedOn w:val="DefaultParagraphFont"/>
    <w:link w:val="BodyText2"/>
    <w:rsid w:val="005E6CE7"/>
    <w:rPr>
      <w:rFonts w:ascii="Arial" w:eastAsiaTheme="minorEastAsia" w:hAnsi="Arial" w:cstheme="minorBidi"/>
      <w:sz w:val="22"/>
      <w:szCs w:val="22"/>
      <w:lang w:val="en-GB" w:eastAsia="zh-CN"/>
    </w:rPr>
  </w:style>
  <w:style w:type="paragraph" w:styleId="BodyText">
    <w:name w:val="Body Text"/>
    <w:basedOn w:val="Normal"/>
    <w:link w:val="BodyTextChar"/>
    <w:rsid w:val="005E6CE7"/>
    <w:pPr>
      <w:spacing w:after="120"/>
    </w:pPr>
  </w:style>
  <w:style w:type="character" w:customStyle="1" w:styleId="BodyTextChar">
    <w:name w:val="Body Text Char"/>
    <w:basedOn w:val="DefaultParagraphFont"/>
    <w:link w:val="BodyText"/>
    <w:rsid w:val="005E6CE7"/>
    <w:rPr>
      <w:rFonts w:ascii="Arial" w:eastAsiaTheme="minorEastAsia" w:hAnsi="Arial" w:cstheme="minorBidi"/>
      <w:sz w:val="22"/>
      <w:szCs w:val="22"/>
      <w:lang w:val="en-GB" w:eastAsia="zh-CN"/>
    </w:rPr>
  </w:style>
  <w:style w:type="table" w:styleId="TableGrid">
    <w:name w:val="Table Grid"/>
    <w:basedOn w:val="TableNormal"/>
    <w:rsid w:val="008B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23402" TargetMode="External"/><Relationship Id="rId13" Type="http://schemas.openxmlformats.org/officeDocument/2006/relationships/hyperlink" Target="https://oceanconference.un.org/commitments/?id=15187" TargetMode="External"/><Relationship Id="rId18" Type="http://schemas.openxmlformats.org/officeDocument/2006/relationships/hyperlink" Target="https://tg24.sky.it/ambiente/sky-un-mare-da-salvare.html?intcmp=tg24_hottopic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www.seachangeproject.eu/images/SEACHANGE/SC_Results/D5.4.pdf" TargetMode="External"/><Relationship Id="rId2" Type="http://schemas.openxmlformats.org/officeDocument/2006/relationships/numbering" Target="numbering.xml"/><Relationship Id="rId16" Type="http://schemas.openxmlformats.org/officeDocument/2006/relationships/hyperlink" Target="https://platform.europeanmoocs.eu/course_from_abc_to_abseas_ocean_lite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eanliteracy.unesco.org/f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coledelocean.onf.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nesdoc.unesco.org/ark:/48223/pf0000266169"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engel\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5B6B-45DB-4006-9C72-34DCB97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10</Pages>
  <Words>4347</Words>
  <Characters>25386</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Contribution de la COI en matière d'initiation à l'océan en 2018-2021 : Plan d'action</vt:lpstr>
      <vt:lpstr>Contribution de la COI en matière d'initiation à l'océan en 2018-2021 : Plan d'action</vt:lpstr>
    </vt:vector>
  </TitlesOfParts>
  <Company>Unesco</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la COI en matière d'initiation à l'océan en 2018-2021 : Plan d'action</dc:title>
  <dc:subject/>
  <dc:creator>Obradovic, Aleksandra</dc:creator>
  <cp:keywords/>
  <dc:description/>
  <cp:lastModifiedBy>Pastor Reyes, Ingrid</cp:lastModifiedBy>
  <cp:revision>2</cp:revision>
  <dcterms:created xsi:type="dcterms:W3CDTF">2019-05-29T13:27:00Z</dcterms:created>
  <dcterms:modified xsi:type="dcterms:W3CDTF">2019-05-29T13:27:00Z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201907831</vt:lpwstr>
  </property>
  <property fmtid="{D5CDD505-2E9C-101B-9397-08002B2CF9AE}" pid="3" name="Language">
    <vt:lpwstr>F</vt:lpwstr>
  </property>
</Properties>
</file>