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tblGrid>
      <w:tr w:rsidR="00B83068" w:rsidRPr="00490F1D" w14:paraId="3B84C6F4" w14:textId="77777777" w:rsidTr="002B4C4C">
        <w:trPr>
          <w:jc w:val="center"/>
        </w:trPr>
        <w:tc>
          <w:tcPr>
            <w:tcW w:w="8359" w:type="dxa"/>
            <w:tcMar>
              <w:top w:w="170" w:type="dxa"/>
              <w:left w:w="170" w:type="dxa"/>
              <w:bottom w:w="170" w:type="dxa"/>
              <w:right w:w="170" w:type="dxa"/>
            </w:tcMar>
          </w:tcPr>
          <w:p w14:paraId="75500C67" w14:textId="77777777" w:rsidR="00467E3F" w:rsidRPr="00490F1D" w:rsidRDefault="00B83068" w:rsidP="00BB46E8">
            <w:pPr>
              <w:pStyle w:val="Marge"/>
              <w:jc w:val="center"/>
              <w:rPr>
                <w:rFonts w:cs="Arial"/>
                <w:szCs w:val="22"/>
              </w:rPr>
            </w:pPr>
            <w:r w:rsidRPr="00490F1D">
              <w:rPr>
                <w:rFonts w:cs="Arial"/>
                <w:szCs w:val="22"/>
                <w:u w:val="single"/>
              </w:rPr>
              <w:t>Summary</w:t>
            </w:r>
          </w:p>
          <w:p w14:paraId="1AF8CB53" w14:textId="04331F61" w:rsidR="00C77152" w:rsidRPr="00490F1D" w:rsidRDefault="00CC1086" w:rsidP="00BB46E8">
            <w:pPr>
              <w:pStyle w:val="Marge"/>
              <w:rPr>
                <w:rFonts w:cs="Arial"/>
                <w:szCs w:val="22"/>
              </w:rPr>
            </w:pPr>
            <w:r w:rsidRPr="00490F1D">
              <w:rPr>
                <w:rFonts w:cs="Arial"/>
                <w:szCs w:val="22"/>
              </w:rPr>
              <w:t>Th</w:t>
            </w:r>
            <w:r w:rsidR="008451D4">
              <w:rPr>
                <w:rFonts w:cs="Arial"/>
                <w:szCs w:val="22"/>
              </w:rPr>
              <w:t xml:space="preserve">is document </w:t>
            </w:r>
            <w:r w:rsidR="00B67362">
              <w:rPr>
                <w:rFonts w:cs="Arial"/>
                <w:szCs w:val="22"/>
              </w:rPr>
              <w:t>has</w:t>
            </w:r>
            <w:r w:rsidR="008451D4">
              <w:rPr>
                <w:rFonts w:cs="Arial"/>
                <w:szCs w:val="22"/>
              </w:rPr>
              <w:t xml:space="preserve"> </w:t>
            </w:r>
            <w:r w:rsidR="00B67362">
              <w:rPr>
                <w:rFonts w:cs="Arial"/>
                <w:szCs w:val="22"/>
              </w:rPr>
              <w:t>been prepared</w:t>
            </w:r>
            <w:r w:rsidR="008451D4">
              <w:rPr>
                <w:rFonts w:cs="Arial"/>
                <w:szCs w:val="22"/>
              </w:rPr>
              <w:t xml:space="preserve"> pursuant to </w:t>
            </w:r>
            <w:r w:rsidR="008451D4" w:rsidRPr="00490F1D">
              <w:rPr>
                <w:rFonts w:cs="Arial"/>
                <w:szCs w:val="22"/>
              </w:rPr>
              <w:t xml:space="preserve">Decision </w:t>
            </w:r>
            <w:hyperlink r:id="rId8" w:history="1">
              <w:r w:rsidR="008451D4" w:rsidRPr="000A5713">
                <w:rPr>
                  <w:rStyle w:val="Hyperlink"/>
                </w:rPr>
                <w:t>EC-LI/4.9</w:t>
              </w:r>
            </w:hyperlink>
            <w:r w:rsidR="008451D4">
              <w:rPr>
                <w:rFonts w:cs="Arial"/>
                <w:bCs/>
                <w:szCs w:val="22"/>
              </w:rPr>
              <w:t xml:space="preserve">, by which the Executive Council decided </w:t>
            </w:r>
            <w:r w:rsidR="00B67362">
              <w:rPr>
                <w:rFonts w:cs="Arial"/>
                <w:szCs w:val="22"/>
              </w:rPr>
              <w:t xml:space="preserve">in 2018 </w:t>
            </w:r>
            <w:r w:rsidR="008451D4">
              <w:rPr>
                <w:rFonts w:cs="Arial"/>
                <w:bCs/>
                <w:szCs w:val="22"/>
              </w:rPr>
              <w:t>t</w:t>
            </w:r>
            <w:r w:rsidR="00FB5FA6">
              <w:rPr>
                <w:rFonts w:cs="Arial"/>
                <w:szCs w:val="22"/>
              </w:rPr>
              <w:t xml:space="preserve">o pursue ocean literacy activities </w:t>
            </w:r>
            <w:r w:rsidR="008451D4">
              <w:rPr>
                <w:rFonts w:cs="Arial"/>
                <w:szCs w:val="22"/>
              </w:rPr>
              <w:t xml:space="preserve">and requested the Secretariat to develop an action plan for review by the IOC Assembly in 2019. The action plan for Ocean literacy </w:t>
            </w:r>
            <w:r w:rsidR="00B67362">
              <w:rPr>
                <w:rFonts w:cs="Arial"/>
                <w:szCs w:val="22"/>
              </w:rPr>
              <w:t xml:space="preserve">presented in paragraph 9 </w:t>
            </w:r>
            <w:r w:rsidR="008451D4">
              <w:rPr>
                <w:rFonts w:cs="Arial"/>
                <w:szCs w:val="22"/>
              </w:rPr>
              <w:t xml:space="preserve">has </w:t>
            </w:r>
            <w:r w:rsidR="00FB5FA6" w:rsidRPr="00490F1D">
              <w:rPr>
                <w:rFonts w:cs="Arial"/>
                <w:szCs w:val="22"/>
              </w:rPr>
              <w:t>6 </w:t>
            </w:r>
            <w:r w:rsidR="009F6729">
              <w:rPr>
                <w:rFonts w:cs="Arial"/>
                <w:szCs w:val="22"/>
              </w:rPr>
              <w:t>outputs</w:t>
            </w:r>
            <w:r w:rsidR="00A276BB">
              <w:rPr>
                <w:rFonts w:cs="Arial"/>
                <w:szCs w:val="22"/>
              </w:rPr>
              <w:t xml:space="preserve"> or priorities</w:t>
            </w:r>
            <w:r w:rsidR="009F6729">
              <w:rPr>
                <w:rFonts w:cs="Arial"/>
                <w:szCs w:val="22"/>
              </w:rPr>
              <w:t>,</w:t>
            </w:r>
            <w:r w:rsidR="00FB5FA6" w:rsidRPr="00490F1D">
              <w:rPr>
                <w:rFonts w:cs="Arial"/>
                <w:szCs w:val="22"/>
              </w:rPr>
              <w:t xml:space="preserve"> 16 acti</w:t>
            </w:r>
            <w:r w:rsidR="009F6729">
              <w:rPr>
                <w:rFonts w:cs="Arial"/>
                <w:szCs w:val="22"/>
              </w:rPr>
              <w:t>vities and</w:t>
            </w:r>
            <w:r w:rsidR="00B67362">
              <w:rPr>
                <w:rFonts w:cs="Arial"/>
                <w:szCs w:val="22"/>
              </w:rPr>
              <w:t xml:space="preserve"> 29 actio</w:t>
            </w:r>
            <w:r w:rsidR="00FB5FA6" w:rsidRPr="00490F1D">
              <w:rPr>
                <w:rFonts w:cs="Arial"/>
                <w:szCs w:val="22"/>
              </w:rPr>
              <w:t>ns.</w:t>
            </w:r>
            <w:r w:rsidR="00FB5FA6">
              <w:rPr>
                <w:rFonts w:cs="Arial"/>
                <w:szCs w:val="22"/>
              </w:rPr>
              <w:t xml:space="preserve"> </w:t>
            </w:r>
            <w:r w:rsidR="00B67362">
              <w:rPr>
                <w:rFonts w:cs="Arial"/>
                <w:szCs w:val="22"/>
              </w:rPr>
              <w:t xml:space="preserve">The first part of the document presents the framework of IOC ocean literacy activities and the list thereof over the period 2017–2019. </w:t>
            </w:r>
          </w:p>
          <w:p w14:paraId="7F0B0805" w14:textId="384772C1" w:rsidR="00F83163" w:rsidRPr="00490F1D" w:rsidRDefault="00F83163" w:rsidP="00BB46E8">
            <w:pPr>
              <w:pStyle w:val="Marge"/>
              <w:rPr>
                <w:rFonts w:cs="Arial"/>
                <w:szCs w:val="22"/>
              </w:rPr>
            </w:pPr>
            <w:r w:rsidRPr="00490F1D">
              <w:rPr>
                <w:rFonts w:eastAsiaTheme="minorHAnsi" w:cs="Arial"/>
                <w:snapToGrid/>
                <w:szCs w:val="22"/>
              </w:rPr>
              <w:t>Ocean literacy is a fundamental tool to enhance ocean knowledge, but also to encourage citizens and stakeholders to have an active role in the implementation of sustainable actions on both individual and collective levels.</w:t>
            </w:r>
            <w:r w:rsidR="00B67362">
              <w:rPr>
                <w:rFonts w:eastAsiaTheme="minorHAnsi" w:cs="Arial"/>
                <w:snapToGrid/>
                <w:szCs w:val="22"/>
              </w:rPr>
              <w:t xml:space="preserve"> </w:t>
            </w:r>
            <w:r w:rsidRPr="00490F1D">
              <w:rPr>
                <w:rFonts w:cs="Arial"/>
                <w:szCs w:val="22"/>
              </w:rPr>
              <w:t>A transparent and accessible ocean whereby all nations, stakeholders and citizens have access to ocean data and information, technologies and have the capacities to inform their decisions</w:t>
            </w:r>
            <w:r w:rsidR="008451D4">
              <w:rPr>
                <w:rFonts w:cs="Arial"/>
                <w:szCs w:val="22"/>
              </w:rPr>
              <w:t>,</w:t>
            </w:r>
            <w:r w:rsidRPr="00490F1D">
              <w:rPr>
                <w:rFonts w:cs="Arial"/>
                <w:szCs w:val="22"/>
              </w:rPr>
              <w:t xml:space="preserve"> is one of the societal outcomes of the UN Decade of Ocean Science for Sustainable Development</w:t>
            </w:r>
            <w:r w:rsidR="00A735E5">
              <w:rPr>
                <w:rFonts w:cs="Arial"/>
                <w:szCs w:val="22"/>
              </w:rPr>
              <w:t xml:space="preserve"> (2021–2030).</w:t>
            </w:r>
          </w:p>
          <w:p w14:paraId="5388774F" w14:textId="302938F9" w:rsidR="00467E3F" w:rsidRPr="00490F1D" w:rsidRDefault="00467E3F" w:rsidP="00BB46E8">
            <w:pPr>
              <w:pStyle w:val="Marge"/>
              <w:rPr>
                <w:rFonts w:cs="Arial"/>
                <w:szCs w:val="22"/>
              </w:rPr>
            </w:pPr>
            <w:r w:rsidRPr="00490F1D">
              <w:rPr>
                <w:rFonts w:cs="Arial"/>
                <w:szCs w:val="22"/>
                <w:u w:val="single"/>
              </w:rPr>
              <w:t>Financial and administrative implications</w:t>
            </w:r>
            <w:r w:rsidR="00530CE1" w:rsidRPr="00490F1D">
              <w:rPr>
                <w:rFonts w:cs="Arial"/>
                <w:szCs w:val="22"/>
              </w:rPr>
              <w:t xml:space="preserve">: </w:t>
            </w:r>
            <w:r w:rsidR="00F83163" w:rsidRPr="00490F1D">
              <w:rPr>
                <w:rFonts w:cs="Arial"/>
                <w:szCs w:val="22"/>
              </w:rPr>
              <w:t xml:space="preserve">See </w:t>
            </w:r>
            <w:r w:rsidR="00F83163" w:rsidRPr="00B67362">
              <w:rPr>
                <w:rFonts w:cs="Arial"/>
                <w:szCs w:val="22"/>
              </w:rPr>
              <w:t>paragraph 1</w:t>
            </w:r>
            <w:r w:rsidR="00B67362" w:rsidRPr="004629DF">
              <w:rPr>
                <w:rFonts w:cs="Arial"/>
                <w:szCs w:val="22"/>
              </w:rPr>
              <w:t>0</w:t>
            </w:r>
            <w:r w:rsidR="0089433B" w:rsidRPr="00B67362">
              <w:rPr>
                <w:rFonts w:cs="Arial"/>
                <w:szCs w:val="22"/>
              </w:rPr>
              <w:t>.</w:t>
            </w:r>
            <w:r w:rsidR="0089433B" w:rsidRPr="00490F1D">
              <w:rPr>
                <w:rFonts w:cs="Arial"/>
                <w:szCs w:val="22"/>
              </w:rPr>
              <w:t xml:space="preserve"> T</w:t>
            </w:r>
            <w:r w:rsidR="00957A3B" w:rsidRPr="00490F1D">
              <w:rPr>
                <w:rFonts w:cs="Arial"/>
                <w:szCs w:val="22"/>
              </w:rPr>
              <w:t xml:space="preserve">he budget for the development of </w:t>
            </w:r>
            <w:r w:rsidR="006972D0" w:rsidRPr="00490F1D">
              <w:rPr>
                <w:rFonts w:cs="Arial"/>
                <w:szCs w:val="22"/>
              </w:rPr>
              <w:t xml:space="preserve">Ocean Literacy </w:t>
            </w:r>
            <w:r w:rsidR="00957A3B" w:rsidRPr="00490F1D">
              <w:rPr>
                <w:rFonts w:cs="Arial"/>
                <w:szCs w:val="22"/>
              </w:rPr>
              <w:t>will be defined within the decision on budgetary allocation</w:t>
            </w:r>
            <w:r w:rsidR="009638B6" w:rsidRPr="00490F1D">
              <w:rPr>
                <w:rFonts w:cs="Arial"/>
                <w:szCs w:val="22"/>
              </w:rPr>
              <w:t xml:space="preserve"> as part of</w:t>
            </w:r>
            <w:r w:rsidR="00957A3B" w:rsidRPr="00490F1D">
              <w:rPr>
                <w:rFonts w:cs="Arial"/>
                <w:szCs w:val="22"/>
              </w:rPr>
              <w:t xml:space="preserve"> </w:t>
            </w:r>
            <w:r w:rsidR="009638B6" w:rsidRPr="00490F1D">
              <w:rPr>
                <w:rFonts w:cs="Arial"/>
                <w:szCs w:val="22"/>
              </w:rPr>
              <w:t xml:space="preserve">the overall </w:t>
            </w:r>
            <w:r w:rsidR="009638B6" w:rsidRPr="00B67362">
              <w:rPr>
                <w:rFonts w:cs="Arial"/>
                <w:szCs w:val="22"/>
              </w:rPr>
              <w:t>IOC Programme and Budget draft resolution XX</w:t>
            </w:r>
            <w:r w:rsidR="006972D0" w:rsidRPr="00B67362">
              <w:rPr>
                <w:rFonts w:cs="Arial"/>
                <w:szCs w:val="22"/>
              </w:rPr>
              <w:t>X</w:t>
            </w:r>
            <w:r w:rsidR="00B67362" w:rsidRPr="004629DF">
              <w:rPr>
                <w:rFonts w:cs="Arial"/>
                <w:szCs w:val="22"/>
              </w:rPr>
              <w:t>-(12).</w:t>
            </w:r>
          </w:p>
          <w:p w14:paraId="3555E6D2" w14:textId="1FCF734A" w:rsidR="00737A18" w:rsidRPr="00490F1D" w:rsidRDefault="00413F17">
            <w:pPr>
              <w:pStyle w:val="Marge"/>
              <w:rPr>
                <w:rFonts w:cs="Arial"/>
                <w:szCs w:val="22"/>
              </w:rPr>
            </w:pPr>
            <w:r w:rsidRPr="00490F1D">
              <w:rPr>
                <w:rFonts w:cs="Arial"/>
                <w:szCs w:val="22"/>
                <w:u w:val="single"/>
              </w:rPr>
              <w:t>The proposed decision</w:t>
            </w:r>
            <w:r w:rsidR="00530CE1" w:rsidRPr="00490F1D">
              <w:rPr>
                <w:rFonts w:cs="Arial"/>
                <w:szCs w:val="22"/>
                <w:u w:val="single"/>
              </w:rPr>
              <w:t xml:space="preserve"> </w:t>
            </w:r>
            <w:r w:rsidR="00853565" w:rsidRPr="00490F1D">
              <w:rPr>
                <w:rFonts w:cs="Arial"/>
                <w:szCs w:val="22"/>
              </w:rPr>
              <w:t xml:space="preserve">is referenced </w:t>
            </w:r>
            <w:r w:rsidR="00E47B26" w:rsidRPr="00490F1D">
              <w:rPr>
                <w:rFonts w:cs="Arial"/>
                <w:szCs w:val="22"/>
              </w:rPr>
              <w:t xml:space="preserve">as </w:t>
            </w:r>
            <w:r w:rsidR="006972D0" w:rsidRPr="00490F1D">
              <w:rPr>
                <w:rFonts w:cs="Arial"/>
                <w:szCs w:val="22"/>
              </w:rPr>
              <w:t>IOC-XX</w:t>
            </w:r>
            <w:r w:rsidR="00FC2521" w:rsidRPr="00490F1D">
              <w:rPr>
                <w:rFonts w:cs="Arial"/>
                <w:szCs w:val="22"/>
              </w:rPr>
              <w:t>X</w:t>
            </w:r>
            <w:r w:rsidR="00003B31" w:rsidRPr="00490F1D">
              <w:rPr>
                <w:rFonts w:cs="Arial"/>
                <w:szCs w:val="22"/>
              </w:rPr>
              <w:t>/D</w:t>
            </w:r>
            <w:r w:rsidR="00853565" w:rsidRPr="00490F1D">
              <w:rPr>
                <w:rFonts w:cs="Arial"/>
                <w:szCs w:val="22"/>
              </w:rPr>
              <w:t>ec.</w:t>
            </w:r>
            <w:r w:rsidR="006972D0" w:rsidRPr="00490F1D">
              <w:rPr>
                <w:rFonts w:cs="Arial"/>
                <w:szCs w:val="22"/>
              </w:rPr>
              <w:t>11</w:t>
            </w:r>
            <w:r w:rsidR="00530CE1" w:rsidRPr="00490F1D">
              <w:rPr>
                <w:rFonts w:cs="Arial"/>
                <w:szCs w:val="22"/>
              </w:rPr>
              <w:t>.</w:t>
            </w:r>
            <w:r w:rsidR="00A735E5">
              <w:rPr>
                <w:rFonts w:cs="Arial"/>
                <w:szCs w:val="22"/>
              </w:rPr>
              <w:t>2</w:t>
            </w:r>
            <w:r w:rsidR="00853565" w:rsidRPr="00490F1D">
              <w:rPr>
                <w:rFonts w:cs="Arial"/>
                <w:szCs w:val="22"/>
              </w:rPr>
              <w:t xml:space="preserve"> </w:t>
            </w:r>
            <w:r w:rsidR="00467E3F" w:rsidRPr="00490F1D">
              <w:rPr>
                <w:rFonts w:cs="Arial"/>
                <w:szCs w:val="22"/>
              </w:rPr>
              <w:t xml:space="preserve">in </w:t>
            </w:r>
            <w:r w:rsidR="00853565" w:rsidRPr="00490F1D">
              <w:rPr>
                <w:rFonts w:cs="Arial"/>
                <w:szCs w:val="22"/>
              </w:rPr>
              <w:t xml:space="preserve">the </w:t>
            </w:r>
            <w:r w:rsidR="00C4032B" w:rsidRPr="00490F1D">
              <w:rPr>
                <w:rFonts w:cs="Arial"/>
                <w:szCs w:val="22"/>
              </w:rPr>
              <w:t>Action Paper</w:t>
            </w:r>
            <w:r w:rsidR="00853565" w:rsidRPr="00490F1D">
              <w:rPr>
                <w:rFonts w:cs="Arial"/>
                <w:szCs w:val="22"/>
              </w:rPr>
              <w:t xml:space="preserve"> (</w:t>
            </w:r>
            <w:r w:rsidR="00E47B26" w:rsidRPr="00490F1D">
              <w:rPr>
                <w:rFonts w:cs="Arial"/>
                <w:szCs w:val="22"/>
              </w:rPr>
              <w:t>IOC-XXX/2 prov.)</w:t>
            </w:r>
          </w:p>
        </w:tc>
      </w:tr>
    </w:tbl>
    <w:p w14:paraId="6FD14F1C" w14:textId="00D31B6C" w:rsidR="00746B89" w:rsidRPr="00490F1D" w:rsidRDefault="00746B89" w:rsidP="00BB46E8">
      <w:pPr>
        <w:pStyle w:val="Heading3"/>
        <w:rPr>
          <w:rFonts w:cs="Arial"/>
        </w:rPr>
        <w:sectPr w:rsidR="00746B89" w:rsidRPr="00490F1D"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4BD4E885" w14:textId="77777777" w:rsidR="00737A18" w:rsidRPr="004629DF" w:rsidRDefault="0080288C" w:rsidP="00BB46E8">
      <w:pPr>
        <w:pStyle w:val="Heading3"/>
        <w:rPr>
          <w:rFonts w:cs="Arial"/>
        </w:rPr>
      </w:pPr>
      <w:r w:rsidRPr="004629DF">
        <w:rPr>
          <w:rFonts w:cs="Arial"/>
        </w:rPr>
        <w:lastRenderedPageBreak/>
        <w:t>Background</w:t>
      </w:r>
    </w:p>
    <w:p w14:paraId="2784C487" w14:textId="0E0CF7A1" w:rsidR="00FF5B88" w:rsidRPr="004629DF" w:rsidRDefault="008451D4" w:rsidP="004629DF">
      <w:pPr>
        <w:pStyle w:val="ListParagraph"/>
        <w:numPr>
          <w:ilvl w:val="0"/>
          <w:numId w:val="25"/>
        </w:numPr>
        <w:tabs>
          <w:tab w:val="clear" w:pos="720"/>
          <w:tab w:val="left" w:pos="709"/>
        </w:tabs>
        <w:ind w:left="0" w:firstLine="0"/>
        <w:jc w:val="both"/>
        <w:rPr>
          <w:rFonts w:hAnsi="Arial" w:cs="Arial"/>
          <w:lang w:val="en-GB"/>
        </w:rPr>
      </w:pPr>
      <w:r>
        <w:rPr>
          <w:rFonts w:hAnsi="Arial" w:cs="Arial"/>
          <w:lang w:val="en-GB"/>
        </w:rPr>
        <w:t xml:space="preserve">Pursuant to </w:t>
      </w:r>
      <w:r w:rsidRPr="005B1CDE">
        <w:rPr>
          <w:rFonts w:hAnsi="Arial" w:cs="Arial"/>
          <w:lang w:val="en-GB"/>
        </w:rPr>
        <w:t xml:space="preserve">Decision </w:t>
      </w:r>
      <w:r w:rsidRPr="005B1CDE">
        <w:rPr>
          <w:rFonts w:hAnsi="Arial" w:cs="Arial"/>
          <w:bCs/>
          <w:lang w:val="en-GB"/>
        </w:rPr>
        <w:t>EC-LI/4</w:t>
      </w:r>
      <w:r>
        <w:rPr>
          <w:rFonts w:hAnsi="Arial" w:cs="Arial"/>
          <w:bCs/>
          <w:lang w:val="en-GB"/>
        </w:rPr>
        <w:t xml:space="preserve">, the present action plan </w:t>
      </w:r>
      <w:r w:rsidR="0080288C" w:rsidRPr="004629DF">
        <w:rPr>
          <w:rFonts w:hAnsi="Arial" w:cs="Arial"/>
          <w:lang w:val="en-GB"/>
        </w:rPr>
        <w:t>was developed to</w:t>
      </w:r>
      <w:r w:rsidR="00594808" w:rsidRPr="004629DF">
        <w:rPr>
          <w:rFonts w:hAnsi="Arial" w:cs="Arial"/>
          <w:lang w:val="en-GB"/>
        </w:rPr>
        <w:t xml:space="preserve"> assist local and national governments, academic and research institutions, as well as international organizations</w:t>
      </w:r>
      <w:r w:rsidR="00684ADD" w:rsidRPr="004629DF">
        <w:rPr>
          <w:rFonts w:hAnsi="Arial" w:cs="Arial"/>
          <w:lang w:val="en-GB"/>
        </w:rPr>
        <w:t>, non-governmental organizations</w:t>
      </w:r>
      <w:r w:rsidR="00594808" w:rsidRPr="004629DF">
        <w:rPr>
          <w:rFonts w:hAnsi="Arial" w:cs="Arial"/>
          <w:lang w:val="en-GB"/>
        </w:rPr>
        <w:t xml:space="preserve"> and donors, in </w:t>
      </w:r>
      <w:r w:rsidR="00684ADD" w:rsidRPr="004629DF">
        <w:rPr>
          <w:rFonts w:hAnsi="Arial" w:cs="Arial"/>
          <w:lang w:val="en-GB"/>
        </w:rPr>
        <w:t xml:space="preserve">developing a coherent </w:t>
      </w:r>
      <w:r w:rsidR="00FF5B88" w:rsidRPr="004629DF">
        <w:rPr>
          <w:rFonts w:hAnsi="Arial" w:cs="Arial"/>
          <w:lang w:val="en-GB"/>
        </w:rPr>
        <w:t xml:space="preserve">approach in </w:t>
      </w:r>
      <w:r w:rsidR="001D559D" w:rsidRPr="004629DF">
        <w:rPr>
          <w:rFonts w:hAnsi="Arial" w:cs="Arial"/>
          <w:lang w:val="en-GB"/>
        </w:rPr>
        <w:t xml:space="preserve">the </w:t>
      </w:r>
      <w:r w:rsidR="003B1671" w:rsidRPr="004629DF">
        <w:rPr>
          <w:rFonts w:hAnsi="Arial" w:cs="Arial"/>
          <w:lang w:val="en-GB"/>
        </w:rPr>
        <w:t xml:space="preserve">design and implementation of </w:t>
      </w:r>
      <w:r w:rsidR="00FF5B88" w:rsidRPr="004629DF">
        <w:rPr>
          <w:rFonts w:hAnsi="Arial" w:cs="Arial"/>
          <w:lang w:val="en-GB"/>
        </w:rPr>
        <w:t xml:space="preserve">future ocean literacy activities, especially </w:t>
      </w:r>
      <w:r>
        <w:rPr>
          <w:rFonts w:hAnsi="Arial" w:cs="Arial"/>
          <w:lang w:val="en-GB"/>
        </w:rPr>
        <w:t>within the framework of</w:t>
      </w:r>
      <w:r w:rsidR="00FF5B88" w:rsidRPr="004629DF">
        <w:rPr>
          <w:rFonts w:hAnsi="Arial" w:cs="Arial"/>
          <w:lang w:val="en-GB"/>
        </w:rPr>
        <w:t xml:space="preserve"> the upcoming UN Decade of Ocean Science for Sustainable Development.</w:t>
      </w:r>
    </w:p>
    <w:p w14:paraId="2B7448E2" w14:textId="11E6EDD2" w:rsidR="0080288C" w:rsidRPr="004629DF" w:rsidRDefault="00F644D2" w:rsidP="004629DF">
      <w:pPr>
        <w:pStyle w:val="ListParagraph"/>
        <w:numPr>
          <w:ilvl w:val="0"/>
          <w:numId w:val="25"/>
        </w:numPr>
        <w:tabs>
          <w:tab w:val="clear" w:pos="720"/>
          <w:tab w:val="left" w:pos="709"/>
        </w:tabs>
        <w:ind w:left="0" w:firstLine="0"/>
        <w:jc w:val="both"/>
        <w:rPr>
          <w:rFonts w:hAnsi="Arial" w:cs="Arial"/>
          <w:lang w:val="en-GB"/>
        </w:rPr>
      </w:pPr>
      <w:r>
        <w:rPr>
          <w:rFonts w:hAnsi="Arial" w:cs="Arial"/>
          <w:lang w:val="en-GB"/>
        </w:rPr>
        <w:t xml:space="preserve">Concerned about </w:t>
      </w:r>
      <w:r w:rsidR="00FF5B88" w:rsidRPr="004629DF">
        <w:rPr>
          <w:rFonts w:hAnsi="Arial" w:cs="Arial"/>
          <w:lang w:val="en-GB"/>
        </w:rPr>
        <w:t>ensur</w:t>
      </w:r>
      <w:r>
        <w:rPr>
          <w:rFonts w:hAnsi="Arial" w:cs="Arial"/>
          <w:lang w:val="en-GB"/>
        </w:rPr>
        <w:t>ing</w:t>
      </w:r>
      <w:r w:rsidR="00FF5B88" w:rsidRPr="004629DF">
        <w:rPr>
          <w:rFonts w:hAnsi="Arial" w:cs="Arial"/>
          <w:lang w:val="en-GB"/>
        </w:rPr>
        <w:t xml:space="preserve"> coherence between the ocean literacy activities and the IOC global programmes and regional activities, the </w:t>
      </w:r>
      <w:r w:rsidR="008451D4">
        <w:rPr>
          <w:rFonts w:hAnsi="Arial" w:cs="Arial"/>
          <w:lang w:val="en-GB"/>
        </w:rPr>
        <w:t>action plan</w:t>
      </w:r>
      <w:r w:rsidR="008451D4" w:rsidRPr="004629DF">
        <w:rPr>
          <w:rFonts w:hAnsi="Arial" w:cs="Arial"/>
          <w:lang w:val="en-GB"/>
        </w:rPr>
        <w:t xml:space="preserve"> </w:t>
      </w:r>
      <w:r w:rsidR="00FF5B88" w:rsidRPr="004629DF">
        <w:rPr>
          <w:rFonts w:hAnsi="Arial" w:cs="Arial"/>
          <w:lang w:val="en-GB"/>
        </w:rPr>
        <w:t xml:space="preserve">was developed </w:t>
      </w:r>
      <w:r>
        <w:rPr>
          <w:rFonts w:hAnsi="Arial" w:cs="Arial"/>
          <w:lang w:val="en-GB"/>
        </w:rPr>
        <w:t xml:space="preserve">through a large </w:t>
      </w:r>
      <w:r w:rsidR="00FF5B88" w:rsidRPr="004629DF">
        <w:rPr>
          <w:rFonts w:hAnsi="Arial" w:cs="Arial"/>
          <w:lang w:val="en-GB"/>
        </w:rPr>
        <w:t>consultation with</w:t>
      </w:r>
      <w:r>
        <w:rPr>
          <w:rFonts w:hAnsi="Arial" w:cs="Arial"/>
          <w:lang w:val="en-GB"/>
        </w:rPr>
        <w:t>in</w:t>
      </w:r>
      <w:r w:rsidR="00FF5B88" w:rsidRPr="004629DF">
        <w:rPr>
          <w:rFonts w:hAnsi="Arial" w:cs="Arial"/>
          <w:lang w:val="en-GB"/>
        </w:rPr>
        <w:t xml:space="preserve"> the Secretariat </w:t>
      </w:r>
      <w:r>
        <w:rPr>
          <w:rFonts w:hAnsi="Arial" w:cs="Arial"/>
          <w:lang w:val="en-GB"/>
        </w:rPr>
        <w:t xml:space="preserve">and </w:t>
      </w:r>
      <w:r w:rsidR="00FF5B88" w:rsidRPr="004629DF">
        <w:rPr>
          <w:rFonts w:hAnsi="Arial" w:cs="Arial"/>
          <w:lang w:val="en-GB"/>
        </w:rPr>
        <w:t xml:space="preserve">the IOC </w:t>
      </w:r>
      <w:r>
        <w:rPr>
          <w:rFonts w:hAnsi="Arial" w:cs="Arial"/>
          <w:lang w:val="en-GB"/>
        </w:rPr>
        <w:t>r</w:t>
      </w:r>
      <w:r w:rsidR="00FF5B88" w:rsidRPr="004629DF">
        <w:rPr>
          <w:rFonts w:hAnsi="Arial" w:cs="Arial"/>
          <w:lang w:val="en-GB"/>
        </w:rPr>
        <w:t xml:space="preserve">egional </w:t>
      </w:r>
      <w:r>
        <w:rPr>
          <w:rFonts w:hAnsi="Arial" w:cs="Arial"/>
          <w:lang w:val="en-GB"/>
        </w:rPr>
        <w:t>subsidiary bodies</w:t>
      </w:r>
      <w:r w:rsidR="00FF5B88" w:rsidRPr="004629DF">
        <w:rPr>
          <w:rFonts w:hAnsi="Arial" w:cs="Arial"/>
          <w:lang w:val="en-GB"/>
        </w:rPr>
        <w:t xml:space="preserve">. The present </w:t>
      </w:r>
      <w:r>
        <w:rPr>
          <w:rFonts w:hAnsi="Arial" w:cs="Arial"/>
          <w:lang w:val="en-GB"/>
        </w:rPr>
        <w:t xml:space="preserve">document also benefitted from </w:t>
      </w:r>
      <w:r w:rsidR="003915D0">
        <w:rPr>
          <w:rFonts w:hAnsi="Arial" w:cs="Arial"/>
          <w:lang w:val="en-GB"/>
        </w:rPr>
        <w:t xml:space="preserve">contributions of </w:t>
      </w:r>
      <w:r>
        <w:rPr>
          <w:rFonts w:hAnsi="Arial" w:cs="Arial"/>
          <w:lang w:val="en-GB"/>
        </w:rPr>
        <w:t xml:space="preserve">national </w:t>
      </w:r>
      <w:r w:rsidR="00FF5B88" w:rsidRPr="004629DF">
        <w:rPr>
          <w:rFonts w:hAnsi="Arial" w:cs="Arial"/>
          <w:lang w:val="en-GB"/>
        </w:rPr>
        <w:t xml:space="preserve">ocean literacy experts </w:t>
      </w:r>
      <w:r w:rsidR="003915D0">
        <w:rPr>
          <w:rFonts w:hAnsi="Arial" w:cs="Arial"/>
          <w:lang w:val="en-GB"/>
        </w:rPr>
        <w:t xml:space="preserve">on the occasion of </w:t>
      </w:r>
      <w:r w:rsidR="00FF5B88" w:rsidRPr="004629DF">
        <w:rPr>
          <w:rFonts w:hAnsi="Arial" w:cs="Arial"/>
          <w:lang w:val="en-GB"/>
        </w:rPr>
        <w:t xml:space="preserve">several thematic workshops and conferences, and in particular </w:t>
      </w:r>
      <w:r w:rsidR="002A6478" w:rsidRPr="004629DF">
        <w:rPr>
          <w:rFonts w:hAnsi="Arial" w:cs="Arial"/>
          <w:lang w:val="en-GB"/>
        </w:rPr>
        <w:t>during</w:t>
      </w:r>
      <w:r w:rsidR="00FF5B88" w:rsidRPr="004629DF">
        <w:rPr>
          <w:rFonts w:hAnsi="Arial" w:cs="Arial"/>
          <w:lang w:val="en-GB"/>
        </w:rPr>
        <w:t xml:space="preserve"> the first international ocean literacy conference (Venice, 4</w:t>
      </w:r>
      <w:r w:rsidR="00E47B26" w:rsidRPr="004629DF">
        <w:rPr>
          <w:rFonts w:hAnsi="Arial" w:cs="Arial"/>
          <w:lang w:val="en-GB"/>
        </w:rPr>
        <w:t>–</w:t>
      </w:r>
      <w:r w:rsidR="00FF5B88" w:rsidRPr="004629DF">
        <w:rPr>
          <w:rFonts w:hAnsi="Arial" w:cs="Arial"/>
          <w:lang w:val="en-GB"/>
        </w:rPr>
        <w:t xml:space="preserve">6 December 2017). </w:t>
      </w:r>
      <w:r w:rsidR="0029603C" w:rsidRPr="00D46D39">
        <w:rPr>
          <w:rFonts w:hAnsi="Arial" w:cs="Arial"/>
          <w:lang w:val="en-GB"/>
        </w:rPr>
        <w:t xml:space="preserve">Moreover, </w:t>
      </w:r>
      <w:r w:rsidR="0029603C">
        <w:rPr>
          <w:rFonts w:hAnsi="Arial" w:cs="Arial"/>
          <w:lang w:val="en-GB"/>
        </w:rPr>
        <w:t xml:space="preserve">the action plan reaffirms </w:t>
      </w:r>
      <w:r w:rsidR="0029603C" w:rsidRPr="00D46D39">
        <w:rPr>
          <w:rFonts w:hAnsi="Arial" w:cs="Arial"/>
          <w:lang w:val="en-GB"/>
        </w:rPr>
        <w:t xml:space="preserve">the cross-cutting </w:t>
      </w:r>
      <w:r w:rsidR="0029603C">
        <w:rPr>
          <w:rFonts w:hAnsi="Arial" w:cs="Arial"/>
          <w:lang w:val="en-GB"/>
        </w:rPr>
        <w:t xml:space="preserve">and strategic </w:t>
      </w:r>
      <w:r w:rsidR="0029603C" w:rsidRPr="00D46D39">
        <w:rPr>
          <w:rFonts w:hAnsi="Arial" w:cs="Arial"/>
          <w:lang w:val="en-GB"/>
        </w:rPr>
        <w:t xml:space="preserve">nature of ocean literacy as </w:t>
      </w:r>
      <w:r w:rsidR="0029603C">
        <w:rPr>
          <w:rFonts w:hAnsi="Arial" w:cs="Arial"/>
          <w:lang w:val="en-GB"/>
        </w:rPr>
        <w:t xml:space="preserve">stated in </w:t>
      </w:r>
      <w:r w:rsidR="0029603C" w:rsidRPr="00D46D39">
        <w:rPr>
          <w:rFonts w:hAnsi="Arial" w:cs="Arial"/>
          <w:lang w:val="en-GB"/>
        </w:rPr>
        <w:t xml:space="preserve">output 5: “Visibility and awareness increased” of the </w:t>
      </w:r>
      <w:r w:rsidR="0029603C" w:rsidRPr="00D46D39">
        <w:rPr>
          <w:lang w:val="en-GB"/>
        </w:rPr>
        <w:t>IOC</w:t>
      </w:r>
      <w:r w:rsidR="0029603C" w:rsidRPr="00D46D39">
        <w:rPr>
          <w:rFonts w:hAnsi="Arial" w:cs="Arial"/>
          <w:lang w:val="en-GB"/>
        </w:rPr>
        <w:t xml:space="preserve"> Capacity Development Strategy, </w:t>
      </w:r>
      <w:r w:rsidR="0029603C" w:rsidRPr="00D46D39">
        <w:rPr>
          <w:lang w:val="en-GB"/>
        </w:rPr>
        <w:t>2015</w:t>
      </w:r>
      <w:r w:rsidR="0029603C" w:rsidRPr="00D46D39">
        <w:rPr>
          <w:lang w:val="en-GB"/>
        </w:rPr>
        <w:t>–</w:t>
      </w:r>
      <w:r w:rsidR="0029603C" w:rsidRPr="00D46D39">
        <w:rPr>
          <w:lang w:val="en-GB"/>
        </w:rPr>
        <w:t>2021</w:t>
      </w:r>
      <w:r w:rsidR="0029603C" w:rsidRPr="00D46D39">
        <w:rPr>
          <w:rStyle w:val="Hyperlink"/>
          <w:rFonts w:hAnsi="Arial" w:cs="Arial"/>
          <w:lang w:val="en-GB"/>
        </w:rPr>
        <w:t xml:space="preserve"> (</w:t>
      </w:r>
      <w:hyperlink r:id="rId12" w:history="1">
        <w:r w:rsidR="0029603C" w:rsidRPr="00D46D39">
          <w:rPr>
            <w:rStyle w:val="Hyperlink"/>
            <w:rFonts w:hAnsi="Arial" w:cs="Arial"/>
            <w:lang w:val="en-GB"/>
          </w:rPr>
          <w:t>IOC/INF-1332</w:t>
        </w:r>
      </w:hyperlink>
      <w:r w:rsidR="0029603C" w:rsidRPr="00D46D39">
        <w:rPr>
          <w:rStyle w:val="Hyperlink"/>
          <w:rFonts w:hAnsi="Arial" w:cs="Arial"/>
          <w:lang w:val="en-GB"/>
        </w:rPr>
        <w:t>)</w:t>
      </w:r>
      <w:r w:rsidR="0029603C" w:rsidRPr="00D46D39">
        <w:rPr>
          <w:rFonts w:hAnsi="Arial" w:cs="Arial"/>
          <w:lang w:val="en-GB"/>
        </w:rPr>
        <w:t xml:space="preserve">. </w:t>
      </w:r>
    </w:p>
    <w:p w14:paraId="271CD7C6" w14:textId="77777777" w:rsidR="0080288C" w:rsidRPr="004629DF" w:rsidRDefault="005D2D2D" w:rsidP="00BB46E8">
      <w:pPr>
        <w:pStyle w:val="Heading3"/>
        <w:rPr>
          <w:rFonts w:cs="Arial"/>
        </w:rPr>
      </w:pPr>
      <w:r w:rsidRPr="004629DF">
        <w:rPr>
          <w:rFonts w:cs="Arial"/>
        </w:rPr>
        <w:t xml:space="preserve">Ocean Literacy as an evolving framework </w:t>
      </w:r>
    </w:p>
    <w:p w14:paraId="32A93804" w14:textId="67118E55" w:rsidR="00C46BA9" w:rsidRPr="004629DF" w:rsidRDefault="0029603C" w:rsidP="004629DF">
      <w:pPr>
        <w:pStyle w:val="ListParagraph"/>
        <w:numPr>
          <w:ilvl w:val="0"/>
          <w:numId w:val="25"/>
        </w:numPr>
        <w:tabs>
          <w:tab w:val="clear" w:pos="720"/>
          <w:tab w:val="left" w:pos="709"/>
        </w:tabs>
        <w:ind w:left="0" w:firstLine="0"/>
        <w:jc w:val="both"/>
        <w:rPr>
          <w:rFonts w:hAnsi="Arial" w:cs="Arial"/>
          <w:lang w:val="en-GB"/>
        </w:rPr>
      </w:pPr>
      <w:r>
        <w:rPr>
          <w:rFonts w:hAnsi="Arial" w:cs="Arial"/>
          <w:lang w:val="en-GB"/>
        </w:rPr>
        <w:t>Addressing o</w:t>
      </w:r>
      <w:r w:rsidR="005D2D2D" w:rsidRPr="004629DF">
        <w:rPr>
          <w:rFonts w:hAnsi="Arial" w:cs="Arial"/>
          <w:lang w:val="en-GB"/>
        </w:rPr>
        <w:t xml:space="preserve">cean issues </w:t>
      </w:r>
      <w:r>
        <w:rPr>
          <w:rFonts w:hAnsi="Arial" w:cs="Arial"/>
          <w:lang w:val="en-GB"/>
        </w:rPr>
        <w:t xml:space="preserve">through </w:t>
      </w:r>
      <w:r w:rsidR="005D2D2D" w:rsidRPr="004629DF">
        <w:rPr>
          <w:rFonts w:hAnsi="Arial" w:cs="Arial"/>
          <w:lang w:val="en-GB"/>
        </w:rPr>
        <w:t>c</w:t>
      </w:r>
      <w:r w:rsidR="00F92966" w:rsidRPr="004629DF">
        <w:rPr>
          <w:rFonts w:hAnsi="Arial" w:cs="Arial"/>
          <w:lang w:val="en-GB"/>
        </w:rPr>
        <w:t xml:space="preserve">onceptual ties to science and </w:t>
      </w:r>
      <w:r w:rsidR="005D2D2D" w:rsidRPr="004629DF">
        <w:rPr>
          <w:rFonts w:hAnsi="Arial" w:cs="Arial"/>
          <w:lang w:val="en-GB"/>
        </w:rPr>
        <w:t xml:space="preserve">global societal issues have captured the concern of </w:t>
      </w:r>
      <w:r w:rsidR="00C20A48" w:rsidRPr="004629DF">
        <w:rPr>
          <w:rFonts w:hAnsi="Arial" w:cs="Arial"/>
          <w:lang w:val="en-GB"/>
        </w:rPr>
        <w:t>the</w:t>
      </w:r>
      <w:r w:rsidR="005D2D2D" w:rsidRPr="004629DF">
        <w:rPr>
          <w:rFonts w:hAnsi="Arial" w:cs="Arial"/>
          <w:lang w:val="en-GB"/>
        </w:rPr>
        <w:t xml:space="preserve"> international </w:t>
      </w:r>
      <w:r w:rsidR="00F92966" w:rsidRPr="004629DF">
        <w:rPr>
          <w:rFonts w:hAnsi="Arial" w:cs="Arial"/>
          <w:lang w:val="en-GB"/>
        </w:rPr>
        <w:t>community</w:t>
      </w:r>
      <w:r w:rsidR="005D2D2D" w:rsidRPr="004629DF">
        <w:rPr>
          <w:rFonts w:hAnsi="Arial" w:cs="Arial"/>
          <w:lang w:val="en-GB"/>
        </w:rPr>
        <w:t>. However, a disconnect</w:t>
      </w:r>
      <w:r w:rsidR="00E47B26" w:rsidRPr="004629DF">
        <w:rPr>
          <w:rFonts w:hAnsi="Arial" w:cs="Arial"/>
          <w:lang w:val="en-GB"/>
        </w:rPr>
        <w:t xml:space="preserve">ion </w:t>
      </w:r>
      <w:r w:rsidR="005D2D2D" w:rsidRPr="004629DF">
        <w:rPr>
          <w:rFonts w:hAnsi="Arial" w:cs="Arial"/>
          <w:lang w:val="en-GB"/>
        </w:rPr>
        <w:t xml:space="preserve">exists between what scientists know </w:t>
      </w:r>
      <w:r w:rsidR="00490F1D" w:rsidRPr="004629DF">
        <w:rPr>
          <w:rFonts w:hAnsi="Arial" w:cs="Arial"/>
          <w:lang w:val="en-GB"/>
        </w:rPr>
        <w:t xml:space="preserve">about the ocean </w:t>
      </w:r>
      <w:r w:rsidR="005D2D2D" w:rsidRPr="004629DF">
        <w:rPr>
          <w:rFonts w:hAnsi="Arial" w:cs="Arial"/>
          <w:lang w:val="en-GB"/>
        </w:rPr>
        <w:t xml:space="preserve">and </w:t>
      </w:r>
      <w:r w:rsidR="00490F1D" w:rsidRPr="004629DF">
        <w:rPr>
          <w:rFonts w:hAnsi="Arial" w:cs="Arial"/>
          <w:lang w:val="en-GB"/>
        </w:rPr>
        <w:t xml:space="preserve">what the </w:t>
      </w:r>
      <w:r w:rsidR="005D2D2D" w:rsidRPr="004629DF">
        <w:rPr>
          <w:rFonts w:hAnsi="Arial" w:cs="Arial"/>
          <w:lang w:val="en-GB"/>
        </w:rPr>
        <w:t>public understands. Although standards for science teaching and literacy are established, the fundamental role of the ocean</w:t>
      </w:r>
      <w:r w:rsidR="00F92966" w:rsidRPr="004629DF">
        <w:rPr>
          <w:rFonts w:hAnsi="Arial" w:cs="Arial"/>
          <w:lang w:val="en-GB"/>
        </w:rPr>
        <w:t xml:space="preserve"> </w:t>
      </w:r>
      <w:r w:rsidR="002A6478" w:rsidRPr="004629DF">
        <w:rPr>
          <w:rFonts w:hAnsi="Arial" w:cs="Arial"/>
          <w:lang w:val="en-GB"/>
        </w:rPr>
        <w:t xml:space="preserve">is not emphasized </w:t>
      </w:r>
      <w:r w:rsidR="00F92966" w:rsidRPr="004629DF">
        <w:rPr>
          <w:rFonts w:hAnsi="Arial" w:cs="Arial"/>
          <w:lang w:val="en-GB"/>
        </w:rPr>
        <w:t>in fo</w:t>
      </w:r>
      <w:r w:rsidR="001D559D" w:rsidRPr="004629DF">
        <w:rPr>
          <w:rFonts w:hAnsi="Arial" w:cs="Arial"/>
          <w:lang w:val="en-GB"/>
        </w:rPr>
        <w:t>rmal education.</w:t>
      </w:r>
      <w:r w:rsidR="0080288C" w:rsidRPr="004629DF">
        <w:rPr>
          <w:rFonts w:hAnsi="Arial" w:cs="Arial"/>
          <w:lang w:val="en-GB"/>
        </w:rPr>
        <w:t xml:space="preserve"> </w:t>
      </w:r>
      <w:r w:rsidR="00F92966" w:rsidRPr="004629DF">
        <w:rPr>
          <w:rFonts w:hAnsi="Arial" w:cs="Arial"/>
          <w:lang w:val="en-GB"/>
        </w:rPr>
        <w:t>Moreover, an increased interest in the ocean space</w:t>
      </w:r>
      <w:r w:rsidR="001D559D" w:rsidRPr="004629DF">
        <w:rPr>
          <w:rFonts w:hAnsi="Arial" w:cs="Arial"/>
          <w:lang w:val="en-GB"/>
        </w:rPr>
        <w:t xml:space="preserve"> is observed due to </w:t>
      </w:r>
      <w:r w:rsidR="00F92966" w:rsidRPr="004629DF">
        <w:rPr>
          <w:rFonts w:hAnsi="Arial" w:cs="Arial"/>
          <w:lang w:val="en-GB"/>
        </w:rPr>
        <w:t>the development of ocean economy, the</w:t>
      </w:r>
      <w:r w:rsidR="001D559D" w:rsidRPr="004629DF">
        <w:rPr>
          <w:rFonts w:hAnsi="Arial" w:cs="Arial"/>
          <w:lang w:val="en-GB"/>
        </w:rPr>
        <w:t xml:space="preserve"> commitments on the</w:t>
      </w:r>
      <w:r w:rsidR="00F92966" w:rsidRPr="004629DF">
        <w:rPr>
          <w:rFonts w:hAnsi="Arial" w:cs="Arial"/>
          <w:lang w:val="en-GB"/>
        </w:rPr>
        <w:t xml:space="preserve"> implementation of the </w:t>
      </w:r>
      <w:r w:rsidR="003915D0" w:rsidRPr="009F2ED3">
        <w:rPr>
          <w:rFonts w:hAnsi="Arial" w:cs="Arial"/>
          <w:lang w:val="en-GB"/>
        </w:rPr>
        <w:t>2030</w:t>
      </w:r>
      <w:r w:rsidR="003915D0">
        <w:rPr>
          <w:rFonts w:hAnsi="Arial" w:cs="Arial"/>
          <w:lang w:val="en-GB"/>
        </w:rPr>
        <w:t xml:space="preserve"> </w:t>
      </w:r>
      <w:r w:rsidR="00F92966" w:rsidRPr="004629DF">
        <w:rPr>
          <w:rFonts w:hAnsi="Arial" w:cs="Arial"/>
          <w:lang w:val="en-GB"/>
        </w:rPr>
        <w:t>Agenda, with particular reference to SDG</w:t>
      </w:r>
      <w:r w:rsidR="00490F1D" w:rsidRPr="004629DF">
        <w:rPr>
          <w:rFonts w:hAnsi="Arial" w:cs="Arial"/>
          <w:lang w:val="en-GB"/>
        </w:rPr>
        <w:t> </w:t>
      </w:r>
      <w:r w:rsidR="00F92966" w:rsidRPr="004629DF">
        <w:rPr>
          <w:rFonts w:hAnsi="Arial" w:cs="Arial"/>
          <w:lang w:val="en-GB"/>
        </w:rPr>
        <w:t xml:space="preserve">14 and its targets, </w:t>
      </w:r>
      <w:r w:rsidR="00C46BA9" w:rsidRPr="004629DF">
        <w:rPr>
          <w:rFonts w:hAnsi="Arial" w:cs="Arial"/>
          <w:lang w:val="en-GB"/>
        </w:rPr>
        <w:t xml:space="preserve">the negotiation of new legal instruments, </w:t>
      </w:r>
      <w:r w:rsidR="00F92966" w:rsidRPr="004629DF">
        <w:rPr>
          <w:rFonts w:hAnsi="Arial" w:cs="Arial"/>
          <w:lang w:val="en-GB"/>
        </w:rPr>
        <w:t xml:space="preserve">and </w:t>
      </w:r>
      <w:r w:rsidR="001D559D" w:rsidRPr="004629DF">
        <w:rPr>
          <w:rFonts w:hAnsi="Arial" w:cs="Arial"/>
          <w:lang w:val="en-GB"/>
        </w:rPr>
        <w:t xml:space="preserve">the </w:t>
      </w:r>
      <w:r w:rsidR="00C20A48" w:rsidRPr="004629DF">
        <w:rPr>
          <w:rFonts w:hAnsi="Arial" w:cs="Arial"/>
          <w:lang w:val="en-GB"/>
        </w:rPr>
        <w:t>need of providing scientifically sound solutions to emerging threats to the ocean</w:t>
      </w:r>
      <w:r w:rsidR="00C46BA9" w:rsidRPr="004629DF">
        <w:rPr>
          <w:rFonts w:hAnsi="Arial" w:cs="Arial"/>
          <w:lang w:val="en-GB"/>
        </w:rPr>
        <w:t>. For this reason,</w:t>
      </w:r>
      <w:r w:rsidR="00C20A48" w:rsidRPr="004629DF">
        <w:rPr>
          <w:rFonts w:hAnsi="Arial" w:cs="Arial"/>
          <w:lang w:val="en-GB"/>
        </w:rPr>
        <w:t xml:space="preserve"> a variety of actors and stakeholders need to have a better understanding of ocean characteristics</w:t>
      </w:r>
      <w:r w:rsidR="00A46383" w:rsidRPr="004629DF">
        <w:rPr>
          <w:rFonts w:hAnsi="Arial" w:cs="Arial"/>
          <w:lang w:val="en-GB"/>
        </w:rPr>
        <w:t xml:space="preserve"> and processes, as well as of the importance of ocean science, observation and data for </w:t>
      </w:r>
      <w:r>
        <w:rPr>
          <w:rFonts w:hAnsi="Arial" w:cs="Arial"/>
          <w:lang w:val="en-GB"/>
        </w:rPr>
        <w:t xml:space="preserve">managing </w:t>
      </w:r>
      <w:r w:rsidR="00A46383" w:rsidRPr="004629DF">
        <w:rPr>
          <w:rFonts w:hAnsi="Arial" w:cs="Arial"/>
          <w:lang w:val="en-GB"/>
        </w:rPr>
        <w:t xml:space="preserve">ocean </w:t>
      </w:r>
      <w:r>
        <w:rPr>
          <w:rFonts w:hAnsi="Arial" w:cs="Arial"/>
          <w:lang w:val="en-GB"/>
        </w:rPr>
        <w:t>activities and research</w:t>
      </w:r>
      <w:r w:rsidR="00A46383" w:rsidRPr="004629DF">
        <w:rPr>
          <w:rFonts w:hAnsi="Arial" w:cs="Arial"/>
          <w:lang w:val="en-GB"/>
        </w:rPr>
        <w:t xml:space="preserve">. </w:t>
      </w:r>
    </w:p>
    <w:p w14:paraId="6925663B" w14:textId="7E6DD72F" w:rsidR="005D2D2D" w:rsidRPr="004629DF" w:rsidRDefault="00C46BA9" w:rsidP="004629DF">
      <w:pPr>
        <w:pStyle w:val="ListParagraph"/>
        <w:numPr>
          <w:ilvl w:val="0"/>
          <w:numId w:val="25"/>
        </w:numPr>
        <w:tabs>
          <w:tab w:val="clear" w:pos="720"/>
          <w:tab w:val="left" w:pos="709"/>
        </w:tabs>
        <w:ind w:left="0" w:firstLine="0"/>
        <w:jc w:val="both"/>
        <w:rPr>
          <w:rFonts w:hAnsi="Arial" w:cs="Arial"/>
          <w:lang w:val="en-GB"/>
        </w:rPr>
      </w:pPr>
      <w:r w:rsidRPr="004629DF">
        <w:rPr>
          <w:rFonts w:hAnsi="Arial" w:cs="Arial"/>
          <w:lang w:val="en-GB"/>
        </w:rPr>
        <w:t>In this evolving ocean landscape, strengthening scientific knowledge of the ocean and human impact on it, applying that knowledge for societal benefit, and building institutional capacities for sound management and governance</w:t>
      </w:r>
      <w:r w:rsidR="00F10ED6">
        <w:rPr>
          <w:rFonts w:hAnsi="Arial" w:cs="Arial"/>
          <w:lang w:val="en-GB"/>
        </w:rPr>
        <w:t xml:space="preserve">—some of </w:t>
      </w:r>
      <w:r w:rsidR="00A46383" w:rsidRPr="004629DF">
        <w:rPr>
          <w:rFonts w:hAnsi="Arial" w:cs="Arial"/>
          <w:lang w:val="en-GB"/>
        </w:rPr>
        <w:t>the</w:t>
      </w:r>
      <w:r w:rsidRPr="004629DF">
        <w:rPr>
          <w:rFonts w:hAnsi="Arial" w:cs="Arial"/>
          <w:lang w:val="en-GB"/>
        </w:rPr>
        <w:t xml:space="preserve"> major areas of action of the IOC</w:t>
      </w:r>
      <w:r w:rsidR="00F10ED6">
        <w:rPr>
          <w:rFonts w:hAnsi="Arial" w:cs="Arial"/>
          <w:lang w:val="en-GB"/>
        </w:rPr>
        <w:t>—</w:t>
      </w:r>
      <w:r w:rsidR="00A46383" w:rsidRPr="004629DF">
        <w:rPr>
          <w:rFonts w:hAnsi="Arial" w:cs="Arial"/>
          <w:lang w:val="en-GB"/>
        </w:rPr>
        <w:t>are becoming</w:t>
      </w:r>
      <w:r w:rsidR="006972D0" w:rsidRPr="004629DF">
        <w:rPr>
          <w:rFonts w:hAnsi="Arial" w:cs="Arial"/>
          <w:lang w:val="en-GB"/>
        </w:rPr>
        <w:t xml:space="preserve"> increasingly </w:t>
      </w:r>
      <w:r w:rsidR="00A46383" w:rsidRPr="004629DF">
        <w:rPr>
          <w:rFonts w:hAnsi="Arial" w:cs="Arial"/>
          <w:lang w:val="en-GB"/>
        </w:rPr>
        <w:t>relevant</w:t>
      </w:r>
      <w:r w:rsidR="006972D0" w:rsidRPr="004629DF">
        <w:rPr>
          <w:rFonts w:hAnsi="Arial" w:cs="Arial"/>
          <w:lang w:val="en-GB"/>
        </w:rPr>
        <w:t xml:space="preserve"> for the society as a whole</w:t>
      </w:r>
      <w:r w:rsidR="00A46383" w:rsidRPr="004629DF">
        <w:rPr>
          <w:rFonts w:hAnsi="Arial" w:cs="Arial"/>
          <w:lang w:val="en-GB"/>
        </w:rPr>
        <w:t xml:space="preserve">. </w:t>
      </w:r>
      <w:r w:rsidR="003B1671" w:rsidRPr="004629DF">
        <w:rPr>
          <w:rFonts w:hAnsi="Arial" w:cs="Arial"/>
          <w:lang w:val="en-GB"/>
        </w:rPr>
        <w:t xml:space="preserve">The </w:t>
      </w:r>
      <w:r w:rsidRPr="004629DF">
        <w:rPr>
          <w:rFonts w:hAnsi="Arial" w:cs="Arial"/>
          <w:lang w:val="en-GB"/>
        </w:rPr>
        <w:t>IOC</w:t>
      </w:r>
      <w:r w:rsidR="003B1671" w:rsidRPr="004629DF">
        <w:rPr>
          <w:rFonts w:hAnsi="Arial" w:cs="Arial"/>
          <w:lang w:val="en-GB"/>
        </w:rPr>
        <w:t xml:space="preserve"> is committed to</w:t>
      </w:r>
      <w:r w:rsidRPr="004629DF">
        <w:rPr>
          <w:rFonts w:hAnsi="Arial" w:cs="Arial"/>
          <w:lang w:val="en-GB"/>
        </w:rPr>
        <w:t xml:space="preserve"> support </w:t>
      </w:r>
      <w:r w:rsidR="00A46383" w:rsidRPr="004629DF">
        <w:rPr>
          <w:rFonts w:hAnsi="Arial" w:cs="Arial"/>
          <w:lang w:val="en-GB"/>
        </w:rPr>
        <w:t xml:space="preserve">its </w:t>
      </w:r>
      <w:r w:rsidRPr="004629DF">
        <w:rPr>
          <w:rFonts w:hAnsi="Arial" w:cs="Arial"/>
          <w:lang w:val="en-GB"/>
        </w:rPr>
        <w:t xml:space="preserve">Member States to base their </w:t>
      </w:r>
      <w:r w:rsidR="003B1671" w:rsidRPr="004629DF">
        <w:rPr>
          <w:rFonts w:hAnsi="Arial" w:cs="Arial"/>
          <w:lang w:val="en-GB"/>
        </w:rPr>
        <w:t>decisions and actions on the best available science, and to</w:t>
      </w:r>
      <w:r w:rsidRPr="004629DF">
        <w:rPr>
          <w:rFonts w:hAnsi="Arial" w:cs="Arial"/>
          <w:lang w:val="en-GB"/>
        </w:rPr>
        <w:t xml:space="preserve"> </w:t>
      </w:r>
      <w:r w:rsidR="003B1671" w:rsidRPr="004629DF">
        <w:rPr>
          <w:rFonts w:hAnsi="Arial" w:cs="Arial"/>
          <w:lang w:val="en-GB"/>
        </w:rPr>
        <w:t>promot</w:t>
      </w:r>
      <w:r w:rsidR="00F10ED6">
        <w:rPr>
          <w:rFonts w:hAnsi="Arial" w:cs="Arial"/>
          <w:lang w:val="en-GB"/>
        </w:rPr>
        <w:t>e</w:t>
      </w:r>
      <w:r w:rsidR="003B1671" w:rsidRPr="004629DF">
        <w:rPr>
          <w:rFonts w:hAnsi="Arial" w:cs="Arial"/>
          <w:lang w:val="en-GB"/>
        </w:rPr>
        <w:t xml:space="preserve"> the use of science among all entities involved in the management of ocean resources.</w:t>
      </w:r>
      <w:r w:rsidRPr="004629DF">
        <w:rPr>
          <w:rFonts w:hAnsi="Arial" w:cs="Arial"/>
          <w:lang w:val="en-GB"/>
        </w:rPr>
        <w:t xml:space="preserve"> </w:t>
      </w:r>
    </w:p>
    <w:p w14:paraId="5ACFC651" w14:textId="73B6533D" w:rsidR="00F92966" w:rsidRPr="004629DF" w:rsidRDefault="00F92966" w:rsidP="004629DF">
      <w:pPr>
        <w:pStyle w:val="ListParagraph"/>
        <w:numPr>
          <w:ilvl w:val="0"/>
          <w:numId w:val="25"/>
        </w:numPr>
        <w:tabs>
          <w:tab w:val="clear" w:pos="720"/>
          <w:tab w:val="left" w:pos="709"/>
        </w:tabs>
        <w:ind w:left="0" w:firstLine="0"/>
        <w:jc w:val="both"/>
        <w:rPr>
          <w:rFonts w:hAnsi="Arial" w:cs="Arial"/>
          <w:lang w:val="en-GB"/>
        </w:rPr>
      </w:pPr>
      <w:r w:rsidRPr="004629DF">
        <w:rPr>
          <w:rFonts w:hAnsi="Arial" w:cs="Arial"/>
          <w:lang w:val="en-GB"/>
        </w:rPr>
        <w:t xml:space="preserve">Ocean literacy is defined as </w:t>
      </w:r>
      <w:r w:rsidR="003915D0">
        <w:rPr>
          <w:rFonts w:hAnsi="Arial" w:cs="Arial"/>
          <w:lang w:val="en-GB"/>
        </w:rPr>
        <w:t xml:space="preserve">the </w:t>
      </w:r>
      <w:r w:rsidRPr="004629DF">
        <w:rPr>
          <w:rFonts w:hAnsi="Arial" w:cs="Arial"/>
          <w:lang w:val="en-GB"/>
        </w:rPr>
        <w:t xml:space="preserve">understanding of human influence on the ocean and </w:t>
      </w:r>
      <w:r w:rsidR="00C20A48" w:rsidRPr="004629DF">
        <w:rPr>
          <w:rFonts w:hAnsi="Arial" w:cs="Arial"/>
          <w:lang w:val="en-GB"/>
        </w:rPr>
        <w:t>the ocean influence on humans</w:t>
      </w:r>
      <w:r w:rsidRPr="004629DF">
        <w:rPr>
          <w:rFonts w:hAnsi="Arial" w:cs="Arial"/>
          <w:lang w:val="en-GB"/>
        </w:rPr>
        <w:t xml:space="preserve">. Ocean literacy is not only about increasing awareness on the state of the ocean, but it is about providing tools and approaches to transform ocean knowledge into actions to promote ocean sustainability. </w:t>
      </w:r>
      <w:r w:rsidR="003915D0">
        <w:rPr>
          <w:rFonts w:hAnsi="Arial" w:cs="Arial"/>
          <w:lang w:val="en-GB"/>
        </w:rPr>
        <w:t>Its success</w:t>
      </w:r>
      <w:r w:rsidRPr="004629DF">
        <w:rPr>
          <w:rFonts w:hAnsi="Arial" w:cs="Arial"/>
          <w:lang w:val="en-GB"/>
        </w:rPr>
        <w:t xml:space="preserve"> will depend, on the one hand, on </w:t>
      </w:r>
      <w:r w:rsidR="00F10ED6">
        <w:rPr>
          <w:rFonts w:hAnsi="Arial" w:cs="Arial"/>
          <w:lang w:val="en-GB"/>
        </w:rPr>
        <w:t xml:space="preserve">our </w:t>
      </w:r>
      <w:r w:rsidRPr="004629DF">
        <w:rPr>
          <w:rFonts w:hAnsi="Arial" w:cs="Arial"/>
          <w:lang w:val="en-GB"/>
        </w:rPr>
        <w:t xml:space="preserve">capacity </w:t>
      </w:r>
      <w:r w:rsidR="00F10ED6">
        <w:rPr>
          <w:rFonts w:hAnsi="Arial" w:cs="Arial"/>
          <w:lang w:val="en-GB"/>
        </w:rPr>
        <w:t>to</w:t>
      </w:r>
      <w:r w:rsidR="00F10ED6" w:rsidRPr="004629DF">
        <w:rPr>
          <w:rFonts w:hAnsi="Arial" w:cs="Arial"/>
          <w:lang w:val="en-GB"/>
        </w:rPr>
        <w:t xml:space="preserve"> </w:t>
      </w:r>
      <w:r w:rsidRPr="004629DF">
        <w:rPr>
          <w:rFonts w:hAnsi="Arial" w:cs="Arial"/>
          <w:lang w:val="en-GB"/>
        </w:rPr>
        <w:t>enhanc</w:t>
      </w:r>
      <w:r w:rsidR="00F10ED6">
        <w:rPr>
          <w:rFonts w:hAnsi="Arial" w:cs="Arial"/>
          <w:lang w:val="en-GB"/>
        </w:rPr>
        <w:t>e</w:t>
      </w:r>
      <w:r w:rsidRPr="004629DF">
        <w:rPr>
          <w:rFonts w:hAnsi="Arial" w:cs="Arial"/>
          <w:lang w:val="en-GB"/>
        </w:rPr>
        <w:t xml:space="preserve"> the science-society-policy interface, and, on the other hand, on empowering a wide range of stakeholders, i.e. communities and networks of business, universities, research </w:t>
      </w:r>
      <w:r w:rsidR="003915D0" w:rsidRPr="00490F1D">
        <w:rPr>
          <w:rFonts w:hAnsi="Arial" w:cs="Arial"/>
          <w:lang w:val="en-GB"/>
        </w:rPr>
        <w:t>centres</w:t>
      </w:r>
      <w:r w:rsidRPr="004629DF">
        <w:rPr>
          <w:rFonts w:hAnsi="Arial" w:cs="Arial"/>
          <w:lang w:val="en-GB"/>
        </w:rPr>
        <w:t xml:space="preserve">, and civic groups to share responsibility </w:t>
      </w:r>
      <w:r w:rsidR="00F10ED6">
        <w:rPr>
          <w:rFonts w:hAnsi="Arial" w:cs="Arial"/>
          <w:lang w:val="en-GB"/>
        </w:rPr>
        <w:t>in</w:t>
      </w:r>
      <w:r w:rsidR="00F10ED6" w:rsidRPr="004629DF">
        <w:rPr>
          <w:rFonts w:hAnsi="Arial" w:cs="Arial"/>
          <w:lang w:val="en-GB"/>
        </w:rPr>
        <w:t xml:space="preserve"> </w:t>
      </w:r>
      <w:r w:rsidRPr="004629DF">
        <w:rPr>
          <w:rFonts w:hAnsi="Arial" w:cs="Arial"/>
          <w:lang w:val="en-GB"/>
        </w:rPr>
        <w:t>addressing urgent threats</w:t>
      </w:r>
      <w:r w:rsidR="00A46383" w:rsidRPr="004629DF">
        <w:rPr>
          <w:rFonts w:hAnsi="Arial" w:cs="Arial"/>
          <w:lang w:val="en-GB"/>
        </w:rPr>
        <w:t xml:space="preserve"> that are causing a decline in ocean health</w:t>
      </w:r>
      <w:r w:rsidRPr="004629DF">
        <w:rPr>
          <w:rFonts w:hAnsi="Arial" w:cs="Arial"/>
          <w:lang w:val="en-GB"/>
        </w:rPr>
        <w:t xml:space="preserve">. Furthermore, increasing ocean literacy at the national level, and at all educational levels, is a foundational element to enable capacity development in the national marine science sector. While national and regional organizations and associations are critical to promote ocean literacy nationally and regionally, the role of the IOC will be to ensure international collaboration, set quality standards, exchange good practices, as well as </w:t>
      </w:r>
      <w:r w:rsidR="00F10ED6">
        <w:rPr>
          <w:rFonts w:hAnsi="Arial" w:cs="Arial"/>
          <w:lang w:val="en-GB"/>
        </w:rPr>
        <w:t xml:space="preserve">to </w:t>
      </w:r>
      <w:r w:rsidRPr="004629DF">
        <w:rPr>
          <w:rFonts w:hAnsi="Arial" w:cs="Arial"/>
          <w:lang w:val="en-GB"/>
        </w:rPr>
        <w:t>enhanc</w:t>
      </w:r>
      <w:r w:rsidR="00F10ED6">
        <w:rPr>
          <w:rFonts w:hAnsi="Arial" w:cs="Arial"/>
          <w:lang w:val="en-GB"/>
        </w:rPr>
        <w:t>e</w:t>
      </w:r>
      <w:r w:rsidRPr="004629DF">
        <w:rPr>
          <w:rFonts w:hAnsi="Arial" w:cs="Arial"/>
          <w:lang w:val="en-GB"/>
        </w:rPr>
        <w:t xml:space="preserve"> the capacity of Member States in achieving ocean literacy priorities</w:t>
      </w:r>
      <w:bookmarkStart w:id="0" w:name="_GoBack"/>
      <w:bookmarkEnd w:id="0"/>
      <w:r w:rsidR="00A276BB">
        <w:rPr>
          <w:rFonts w:hAnsi="Arial" w:cs="Arial"/>
          <w:lang w:val="en-GB"/>
        </w:rPr>
        <w:t xml:space="preserve"> (see Outputs in the following draft action plan)</w:t>
      </w:r>
      <w:r w:rsidRPr="004629DF">
        <w:rPr>
          <w:rFonts w:hAnsi="Arial" w:cs="Arial"/>
          <w:lang w:val="en-GB"/>
        </w:rPr>
        <w:t xml:space="preserve">. </w:t>
      </w:r>
    </w:p>
    <w:p w14:paraId="143D4A8F" w14:textId="007A889F" w:rsidR="00A46383" w:rsidRPr="004629DF" w:rsidRDefault="00C20A48" w:rsidP="004629DF">
      <w:pPr>
        <w:pStyle w:val="ListParagraph"/>
        <w:numPr>
          <w:ilvl w:val="0"/>
          <w:numId w:val="25"/>
        </w:numPr>
        <w:tabs>
          <w:tab w:val="clear" w:pos="720"/>
          <w:tab w:val="left" w:pos="709"/>
        </w:tabs>
        <w:ind w:left="0" w:firstLine="0"/>
        <w:jc w:val="both"/>
        <w:rPr>
          <w:rFonts w:hAnsi="Arial" w:cs="Arial"/>
          <w:lang w:val="en-GB"/>
        </w:rPr>
      </w:pPr>
      <w:r w:rsidRPr="004629DF">
        <w:rPr>
          <w:rFonts w:hAnsi="Arial" w:cs="Arial"/>
          <w:lang w:val="en-GB"/>
        </w:rPr>
        <w:t>Ocean literacy is a fundamental tool to enhance ocean knowledge</w:t>
      </w:r>
      <w:r w:rsidR="00E1044D">
        <w:rPr>
          <w:rFonts w:hAnsi="Arial" w:cs="Arial"/>
          <w:lang w:val="en-GB"/>
        </w:rPr>
        <w:t xml:space="preserve"> and </w:t>
      </w:r>
      <w:r w:rsidRPr="004629DF">
        <w:rPr>
          <w:rFonts w:hAnsi="Arial" w:cs="Arial"/>
          <w:lang w:val="en-GB"/>
        </w:rPr>
        <w:t xml:space="preserve">to encourage citizens and stakeholders to have an active role in the implementation of sustainable actions on both individual and collective levels. While at the beginning, ocean literacy was developed for the specific purpose to fit the U.S. science curriculum for K12, it has then, in both concept and approach, been </w:t>
      </w:r>
      <w:r w:rsidRPr="004629DF">
        <w:rPr>
          <w:rFonts w:hAnsi="Arial" w:cs="Arial"/>
          <w:lang w:val="en-GB"/>
        </w:rPr>
        <w:lastRenderedPageBreak/>
        <w:t xml:space="preserve">adopted and adapted to a broader context. </w:t>
      </w:r>
      <w:r w:rsidR="00490F1D" w:rsidRPr="004629DF">
        <w:rPr>
          <w:rFonts w:hAnsi="Arial" w:cs="Arial"/>
          <w:lang w:val="en-GB"/>
        </w:rPr>
        <w:t xml:space="preserve">Nowadays, </w:t>
      </w:r>
      <w:r w:rsidRPr="004629DF">
        <w:rPr>
          <w:rFonts w:hAnsi="Arial" w:cs="Arial"/>
          <w:lang w:val="en-GB"/>
        </w:rPr>
        <w:t>Ocean literacy is seen as a way to advance sustainable production practices, to develop sound public marine policy, to promote a more responsible citizenry, and to encourage young people to start a career in the blue economy or in marine science.</w:t>
      </w:r>
      <w:r w:rsidR="00E14C10" w:rsidRPr="004629DF">
        <w:rPr>
          <w:rFonts w:hAnsi="Arial" w:cs="Arial"/>
          <w:lang w:val="en-GB"/>
        </w:rPr>
        <w:t xml:space="preserve"> Ocean </w:t>
      </w:r>
      <w:r w:rsidR="00E1044D">
        <w:rPr>
          <w:rFonts w:hAnsi="Arial" w:cs="Arial"/>
          <w:lang w:val="en-GB"/>
        </w:rPr>
        <w:t>l</w:t>
      </w:r>
      <w:r w:rsidR="00E14C10" w:rsidRPr="004629DF">
        <w:rPr>
          <w:rFonts w:hAnsi="Arial" w:cs="Arial"/>
          <w:lang w:val="en-GB"/>
        </w:rPr>
        <w:t xml:space="preserve">iteracy as </w:t>
      </w:r>
      <w:r w:rsidR="00E1044D">
        <w:rPr>
          <w:rFonts w:hAnsi="Arial" w:cs="Arial"/>
          <w:lang w:val="en-GB"/>
        </w:rPr>
        <w:t xml:space="preserve">a </w:t>
      </w:r>
      <w:r w:rsidR="00E14C10" w:rsidRPr="004629DF">
        <w:rPr>
          <w:rFonts w:hAnsi="Arial" w:cs="Arial"/>
          <w:lang w:val="en-GB"/>
        </w:rPr>
        <w:t>concept and approach is radically evolving from being a tool to be applied in formal education and training</w:t>
      </w:r>
      <w:r w:rsidR="003B1671" w:rsidRPr="004629DF">
        <w:rPr>
          <w:rFonts w:hAnsi="Arial" w:cs="Arial"/>
          <w:lang w:val="en-GB"/>
        </w:rPr>
        <w:t xml:space="preserve"> </w:t>
      </w:r>
      <w:r w:rsidR="002A6478" w:rsidRPr="004629DF">
        <w:rPr>
          <w:rFonts w:hAnsi="Arial" w:cs="Arial"/>
          <w:lang w:val="en-GB"/>
        </w:rPr>
        <w:t>contexts to</w:t>
      </w:r>
      <w:r w:rsidR="00FC0350" w:rsidRPr="004629DF">
        <w:rPr>
          <w:rFonts w:hAnsi="Arial" w:cs="Arial"/>
          <w:lang w:val="en-GB"/>
        </w:rPr>
        <w:t xml:space="preserve"> a tool </w:t>
      </w:r>
      <w:r w:rsidR="00E14C10" w:rsidRPr="004629DF">
        <w:rPr>
          <w:rFonts w:hAnsi="Arial" w:cs="Arial"/>
          <w:lang w:val="en-GB"/>
        </w:rPr>
        <w:t xml:space="preserve">and an approach for society as a whole, aimed at triggering actions towards ocean </w:t>
      </w:r>
      <w:r w:rsidR="00C46BA9" w:rsidRPr="004629DF">
        <w:rPr>
          <w:rFonts w:hAnsi="Arial" w:cs="Arial"/>
          <w:lang w:val="en-GB"/>
        </w:rPr>
        <w:t>sustainability.</w:t>
      </w:r>
      <w:r w:rsidR="00490F1D" w:rsidRPr="004629DF">
        <w:rPr>
          <w:rFonts w:hAnsi="Arial" w:cs="Arial"/>
          <w:lang w:val="en-GB"/>
        </w:rPr>
        <w:t xml:space="preserve"> </w:t>
      </w:r>
      <w:r w:rsidR="00DE4430" w:rsidRPr="004629DF">
        <w:rPr>
          <w:rFonts w:hAnsi="Arial" w:cs="Arial"/>
          <w:lang w:val="en-GB"/>
        </w:rPr>
        <w:t xml:space="preserve">Open access to ocean information, increased interactions between the academic and societal actor communities, and ocean literacy for all should capacitate all citizens and stakeholders to have a more responsible and informed </w:t>
      </w:r>
      <w:r w:rsidR="00FC0350" w:rsidRPr="004629DF">
        <w:rPr>
          <w:rFonts w:hAnsi="Arial" w:cs="Arial"/>
          <w:lang w:val="en-GB"/>
        </w:rPr>
        <w:t>behavio</w:t>
      </w:r>
      <w:r w:rsidR="00490F1D" w:rsidRPr="004629DF">
        <w:rPr>
          <w:rFonts w:hAnsi="Arial" w:cs="Arial"/>
          <w:lang w:val="en-GB"/>
        </w:rPr>
        <w:t>u</w:t>
      </w:r>
      <w:r w:rsidR="00FC0350" w:rsidRPr="004629DF">
        <w:rPr>
          <w:rFonts w:hAnsi="Arial" w:cs="Arial"/>
          <w:lang w:val="en-GB"/>
        </w:rPr>
        <w:t>r</w:t>
      </w:r>
      <w:r w:rsidR="00DE4430" w:rsidRPr="004629DF">
        <w:rPr>
          <w:rFonts w:hAnsi="Arial" w:cs="Arial"/>
          <w:lang w:val="en-GB"/>
        </w:rPr>
        <w:t xml:space="preserve"> towards the ocean and its resources.</w:t>
      </w:r>
    </w:p>
    <w:p w14:paraId="64B69567" w14:textId="304E9D45" w:rsidR="003B1671" w:rsidRPr="004629DF" w:rsidRDefault="00A46383" w:rsidP="004629DF">
      <w:pPr>
        <w:pStyle w:val="ListParagraph"/>
        <w:numPr>
          <w:ilvl w:val="0"/>
          <w:numId w:val="25"/>
        </w:numPr>
        <w:tabs>
          <w:tab w:val="clear" w:pos="720"/>
          <w:tab w:val="left" w:pos="709"/>
        </w:tabs>
        <w:ind w:left="0" w:firstLine="0"/>
        <w:jc w:val="both"/>
        <w:rPr>
          <w:rFonts w:hAnsi="Arial" w:cs="Arial"/>
          <w:lang w:val="en-GB"/>
        </w:rPr>
      </w:pPr>
      <w:r w:rsidRPr="004629DF">
        <w:rPr>
          <w:rFonts w:hAnsi="Arial" w:cs="Arial"/>
          <w:lang w:val="en-GB"/>
        </w:rPr>
        <w:t xml:space="preserve">For the </w:t>
      </w:r>
      <w:r w:rsidR="00FC0350" w:rsidRPr="004629DF">
        <w:rPr>
          <w:rFonts w:hAnsi="Arial" w:cs="Arial"/>
          <w:lang w:val="en-GB"/>
        </w:rPr>
        <w:t>above-described</w:t>
      </w:r>
      <w:r w:rsidRPr="004629DF">
        <w:rPr>
          <w:rFonts w:hAnsi="Arial" w:cs="Arial"/>
          <w:lang w:val="en-GB"/>
        </w:rPr>
        <w:t xml:space="preserve"> arguments, “A transparent and accessible ocean whereby all nations, stakeholders and citizens have access to ocean data and information, technologies and have the capacities to inform their decisions” is one of the societal outcomes of the UN Decade of Ocean Science for Sustainable Development</w:t>
      </w:r>
      <w:r w:rsidR="00E1044D">
        <w:rPr>
          <w:rFonts w:hAnsi="Arial" w:cs="Arial"/>
          <w:lang w:val="en-GB"/>
        </w:rPr>
        <w:t xml:space="preserve"> (2021–2030)</w:t>
      </w:r>
      <w:r w:rsidRPr="004629DF">
        <w:rPr>
          <w:rFonts w:hAnsi="Arial" w:cs="Arial"/>
          <w:lang w:val="en-GB"/>
        </w:rPr>
        <w:t xml:space="preserve">. </w:t>
      </w:r>
    </w:p>
    <w:p w14:paraId="4B8E6BE8" w14:textId="77D7E5CB" w:rsidR="00815172" w:rsidRPr="004629DF" w:rsidRDefault="00E14C10" w:rsidP="00BB46E8">
      <w:pPr>
        <w:pStyle w:val="ListParagraph"/>
        <w:numPr>
          <w:ilvl w:val="0"/>
          <w:numId w:val="0"/>
        </w:numPr>
        <w:jc w:val="both"/>
        <w:rPr>
          <w:rFonts w:hAnsi="Arial" w:cs="Arial"/>
          <w:b/>
          <w:lang w:val="en-GB"/>
        </w:rPr>
      </w:pPr>
      <w:r w:rsidRPr="004629DF">
        <w:rPr>
          <w:rFonts w:hAnsi="Arial" w:cs="Arial"/>
          <w:b/>
          <w:lang w:val="en-GB"/>
        </w:rPr>
        <w:t xml:space="preserve">IOC Ocean Literacy Activities </w:t>
      </w:r>
      <w:r w:rsidR="00A46383" w:rsidRPr="004629DF">
        <w:rPr>
          <w:rFonts w:hAnsi="Arial" w:cs="Arial"/>
          <w:b/>
          <w:lang w:val="en-GB"/>
        </w:rPr>
        <w:t>(2017</w:t>
      </w:r>
      <w:r w:rsidR="00490F1D">
        <w:rPr>
          <w:rFonts w:hAnsi="Arial" w:cs="Arial"/>
          <w:b/>
          <w:lang w:val="en-GB"/>
        </w:rPr>
        <w:t>–</w:t>
      </w:r>
      <w:r w:rsidR="00A46383" w:rsidRPr="004629DF">
        <w:rPr>
          <w:rFonts w:hAnsi="Arial" w:cs="Arial"/>
          <w:b/>
          <w:lang w:val="en-GB"/>
        </w:rPr>
        <w:t>2019)</w:t>
      </w:r>
    </w:p>
    <w:p w14:paraId="31CE74CE" w14:textId="2186F092" w:rsidR="00815172" w:rsidRPr="004629DF" w:rsidRDefault="00DE4430" w:rsidP="00490F1D">
      <w:pPr>
        <w:pStyle w:val="ListParagraph"/>
        <w:numPr>
          <w:ilvl w:val="0"/>
          <w:numId w:val="25"/>
        </w:numPr>
        <w:tabs>
          <w:tab w:val="clear" w:pos="720"/>
          <w:tab w:val="left" w:pos="709"/>
        </w:tabs>
        <w:ind w:left="0" w:firstLine="0"/>
        <w:jc w:val="both"/>
        <w:rPr>
          <w:rFonts w:hAnsi="Arial" w:cs="Arial"/>
          <w:lang w:val="en-GB"/>
        </w:rPr>
      </w:pPr>
      <w:r w:rsidRPr="004629DF">
        <w:rPr>
          <w:rFonts w:hAnsi="Arial" w:cs="Arial"/>
          <w:lang w:val="en-GB"/>
        </w:rPr>
        <w:t>The high-level United Nations Conference to Support the Implementation of Sustainable Development Goal</w:t>
      </w:r>
      <w:r w:rsidR="00490F1D">
        <w:rPr>
          <w:rFonts w:hAnsi="Arial" w:cs="Arial"/>
          <w:lang w:val="en-GB"/>
        </w:rPr>
        <w:t> </w:t>
      </w:r>
      <w:r w:rsidRPr="004629DF">
        <w:rPr>
          <w:rFonts w:hAnsi="Arial" w:cs="Arial"/>
          <w:lang w:val="en-GB"/>
        </w:rPr>
        <w:t>14</w:t>
      </w:r>
      <w:r w:rsidR="00490F1D">
        <w:rPr>
          <w:rFonts w:hAnsi="Arial" w:cs="Arial"/>
          <w:lang w:val="en-GB"/>
        </w:rPr>
        <w:t xml:space="preserve"> (</w:t>
      </w:r>
      <w:r w:rsidRPr="004629DF">
        <w:rPr>
          <w:rFonts w:hAnsi="Arial" w:cs="Arial"/>
          <w:lang w:val="en-GB"/>
        </w:rPr>
        <w:t xml:space="preserve">Conserve and </w:t>
      </w:r>
      <w:r w:rsidR="00490F1D" w:rsidRPr="00490F1D">
        <w:rPr>
          <w:rFonts w:hAnsi="Arial" w:cs="Arial"/>
          <w:lang w:val="en-GB"/>
        </w:rPr>
        <w:t>sustainably use the oceans, seas and marine resources for sustainable development</w:t>
      </w:r>
      <w:r w:rsidR="00490F1D">
        <w:rPr>
          <w:rFonts w:hAnsi="Arial" w:cs="Arial"/>
          <w:lang w:val="en-GB"/>
        </w:rPr>
        <w:t>)</w:t>
      </w:r>
      <w:r w:rsidRPr="004629DF">
        <w:rPr>
          <w:rFonts w:hAnsi="Arial" w:cs="Arial"/>
          <w:lang w:val="en-GB"/>
        </w:rPr>
        <w:t xml:space="preserve"> convened at United Nations Headquarters in New York from 5 to 9 June 2017 provided the platform to further promote the ocean literacy concept and framework internationally. A voluntary commitment </w:t>
      </w:r>
      <w:hyperlink r:id="rId13" w:history="1">
        <w:r w:rsidRPr="004629DF">
          <w:rPr>
            <w:rStyle w:val="Hyperlink"/>
            <w:rFonts w:hAnsi="Arial" w:cs="Arial"/>
            <w:lang w:val="en-GB"/>
          </w:rPr>
          <w:t>#OceanAction15187</w:t>
        </w:r>
      </w:hyperlink>
      <w:r w:rsidR="00490F1D">
        <w:rPr>
          <w:rFonts w:hAnsi="Arial" w:cs="Arial"/>
          <w:lang w:val="en-GB"/>
        </w:rPr>
        <w:t xml:space="preserve"> (</w:t>
      </w:r>
      <w:r w:rsidRPr="004629DF">
        <w:rPr>
          <w:rFonts w:hAnsi="Arial" w:cs="Arial"/>
          <w:lang w:val="en-GB"/>
        </w:rPr>
        <w:t>Ocean Literacy for All: A Global Strategy to Raise the Awareness for the Conservation, Restoration, and Sustainable Use of Our Ocean</w:t>
      </w:r>
      <w:r w:rsidR="00490F1D">
        <w:rPr>
          <w:rFonts w:hAnsi="Arial" w:cs="Arial"/>
          <w:lang w:val="en-GB"/>
        </w:rPr>
        <w:t>)</w:t>
      </w:r>
      <w:r w:rsidRPr="004629DF">
        <w:rPr>
          <w:rFonts w:hAnsi="Arial" w:cs="Arial"/>
          <w:lang w:val="en-GB"/>
        </w:rPr>
        <w:t xml:space="preserve"> was submitted by UNESCO in partnership with many of the institutions mentioned above and other relevant partners. The main aim of the initiatives outlined in the Voluntary Commitment is to develop a global partnership to improve public knowledge across the world citizenry regarding our global ocean. Several activities have been coordinated by the IOC in this framework</w:t>
      </w:r>
      <w:r w:rsidR="00815172" w:rsidRPr="004629DF">
        <w:rPr>
          <w:rFonts w:hAnsi="Arial" w:cs="Arial"/>
          <w:lang w:val="en-GB"/>
        </w:rPr>
        <w:t>:</w:t>
      </w:r>
    </w:p>
    <w:p w14:paraId="5863CE4A" w14:textId="5AE61F1B" w:rsidR="00DE4430" w:rsidRPr="004629DF" w:rsidRDefault="00DE4430" w:rsidP="00E1044D">
      <w:pPr>
        <w:pStyle w:val="ListParagraph"/>
        <w:numPr>
          <w:ilvl w:val="1"/>
          <w:numId w:val="35"/>
        </w:numPr>
        <w:ind w:left="709" w:hanging="709"/>
        <w:jc w:val="both"/>
        <w:rPr>
          <w:rFonts w:cs="Arial"/>
          <w:lang w:val="en-GB"/>
        </w:rPr>
      </w:pPr>
      <w:r w:rsidRPr="004629DF">
        <w:rPr>
          <w:rFonts w:cs="Arial"/>
          <w:b/>
          <w:lang w:val="en-GB"/>
        </w:rPr>
        <w:t>First International Ocean Literacy Conference</w:t>
      </w:r>
      <w:r w:rsidR="00CC7622">
        <w:rPr>
          <w:rFonts w:cs="Arial"/>
          <w:lang w:val="en-GB"/>
        </w:rPr>
        <w:t xml:space="preserve">. </w:t>
      </w:r>
      <w:r w:rsidRPr="004629DF">
        <w:rPr>
          <w:rFonts w:cs="Arial"/>
          <w:lang w:val="en-GB"/>
        </w:rPr>
        <w:t xml:space="preserve">As part of the implementation of the voluntary commitment </w:t>
      </w:r>
      <w:r w:rsidRPr="004629DF">
        <w:rPr>
          <w:rFonts w:cs="Arial"/>
          <w:lang w:val="en-GB"/>
        </w:rPr>
        <w:t>“</w:t>
      </w:r>
      <w:r w:rsidRPr="004629DF">
        <w:rPr>
          <w:rFonts w:cs="Arial"/>
          <w:lang w:val="en-GB"/>
        </w:rPr>
        <w:t>Ocean Literacy for All</w:t>
      </w:r>
      <w:r w:rsidRPr="004629DF">
        <w:rPr>
          <w:rFonts w:cs="Arial"/>
          <w:lang w:val="en-GB"/>
        </w:rPr>
        <w:t>”</w:t>
      </w:r>
      <w:r w:rsidR="00CC7622">
        <w:rPr>
          <w:rFonts w:cs="Arial"/>
          <w:lang w:val="en-GB"/>
        </w:rPr>
        <w:t xml:space="preserve">, </w:t>
      </w:r>
      <w:r w:rsidRPr="004629DF">
        <w:rPr>
          <w:rFonts w:cs="Arial"/>
          <w:lang w:val="en-GB"/>
        </w:rPr>
        <w:t xml:space="preserve">the IOC of UNESCO organized the </w:t>
      </w:r>
      <w:r w:rsidR="00CC7622">
        <w:rPr>
          <w:rFonts w:cs="Arial"/>
          <w:lang w:val="en-GB"/>
        </w:rPr>
        <w:t>F</w:t>
      </w:r>
      <w:r w:rsidR="00CC7622" w:rsidRPr="004629DF">
        <w:rPr>
          <w:rFonts w:cs="Arial"/>
          <w:lang w:val="en-GB"/>
        </w:rPr>
        <w:t xml:space="preserve">irst </w:t>
      </w:r>
      <w:r w:rsidRPr="004629DF">
        <w:rPr>
          <w:rFonts w:cs="Arial"/>
          <w:lang w:val="en-GB"/>
        </w:rPr>
        <w:t>International Ocean Literacy Conference in Venice</w:t>
      </w:r>
      <w:r w:rsidR="00005C82" w:rsidRPr="004629DF">
        <w:rPr>
          <w:rFonts w:cs="Arial"/>
          <w:lang w:val="en-GB"/>
        </w:rPr>
        <w:t xml:space="preserve"> (4</w:t>
      </w:r>
      <w:r w:rsidR="00CC7622">
        <w:rPr>
          <w:rFonts w:cs="Arial"/>
          <w:lang w:val="en-GB"/>
        </w:rPr>
        <w:t>–</w:t>
      </w:r>
      <w:r w:rsidR="00005C82" w:rsidRPr="004629DF">
        <w:rPr>
          <w:rFonts w:cs="Arial"/>
          <w:lang w:val="en-GB"/>
        </w:rPr>
        <w:t>5 December 2017)</w:t>
      </w:r>
      <w:r w:rsidRPr="004629DF">
        <w:rPr>
          <w:rFonts w:cs="Arial"/>
          <w:lang w:val="en-GB"/>
        </w:rPr>
        <w:t xml:space="preserve">, at the UNESCO Regional Bureau for Science and Culture in Europe, with the financial support of the Swedish Government. This event can be considered </w:t>
      </w:r>
      <w:r w:rsidR="00C802AD">
        <w:rPr>
          <w:rFonts w:cs="Arial"/>
          <w:lang w:val="en-GB"/>
        </w:rPr>
        <w:t xml:space="preserve">as </w:t>
      </w:r>
      <w:r w:rsidRPr="004629DF">
        <w:rPr>
          <w:rFonts w:cs="Arial"/>
          <w:lang w:val="en-GB"/>
        </w:rPr>
        <w:t xml:space="preserve">the first step in a collaborative process to put together initiatives worldwide toward shaping a global framework for ocean literacy, and to invite all relevant stakeholders to converge around a coherent approach to Ocean Literacy. The conference addressed topics covered by the Ocean Literacy for All </w:t>
      </w:r>
      <w:r w:rsidR="00CC7622" w:rsidRPr="00490F1D">
        <w:rPr>
          <w:rFonts w:cs="Arial"/>
          <w:lang w:val="en-GB"/>
        </w:rPr>
        <w:t xml:space="preserve">Voluntary Commitment </w:t>
      </w:r>
      <w:r w:rsidRPr="004629DF">
        <w:rPr>
          <w:rFonts w:cs="Arial"/>
          <w:lang w:val="en-GB"/>
        </w:rPr>
        <w:t xml:space="preserve">and, with a participatory approach, discussed activities to be developed in the next three years in preparation for the next UN Ocean Conference (2020). Furthermore, the discussion focused on ways by which the initiative </w:t>
      </w:r>
      <w:r w:rsidR="00DC702F" w:rsidRPr="004629DF">
        <w:rPr>
          <w:rFonts w:cs="Arial"/>
          <w:lang w:val="en-GB"/>
        </w:rPr>
        <w:t>can</w:t>
      </w:r>
      <w:r w:rsidRPr="004629DF">
        <w:rPr>
          <w:rFonts w:cs="Arial"/>
          <w:lang w:val="en-GB"/>
        </w:rPr>
        <w:t xml:space="preserve"> best support </w:t>
      </w:r>
      <w:r w:rsidR="00DC702F" w:rsidRPr="004629DF">
        <w:rPr>
          <w:rFonts w:cs="Arial"/>
          <w:lang w:val="en-GB"/>
        </w:rPr>
        <w:t>SDG</w:t>
      </w:r>
      <w:r w:rsidR="00CC7622">
        <w:rPr>
          <w:rFonts w:cs="Arial"/>
          <w:lang w:val="en-GB"/>
        </w:rPr>
        <w:t> </w:t>
      </w:r>
      <w:r w:rsidRPr="004629DF">
        <w:rPr>
          <w:rFonts w:cs="Arial"/>
          <w:lang w:val="en-GB"/>
        </w:rPr>
        <w:t>14</w:t>
      </w:r>
      <w:r w:rsidR="00DC702F" w:rsidRPr="004629DF">
        <w:rPr>
          <w:rFonts w:cs="Arial"/>
          <w:lang w:val="en-GB"/>
        </w:rPr>
        <w:t xml:space="preserve"> implementation, </w:t>
      </w:r>
      <w:r w:rsidRPr="004629DF">
        <w:rPr>
          <w:rFonts w:cs="Arial"/>
          <w:lang w:val="en-GB"/>
        </w:rPr>
        <w:t xml:space="preserve">as well as means to develop in tune with the </w:t>
      </w:r>
      <w:r w:rsidR="00DC702F" w:rsidRPr="004629DF">
        <w:rPr>
          <w:rFonts w:cs="Arial"/>
          <w:lang w:val="en-GB"/>
        </w:rPr>
        <w:t>UN</w:t>
      </w:r>
      <w:r w:rsidRPr="004629DF">
        <w:rPr>
          <w:rFonts w:cs="Arial"/>
          <w:lang w:val="en-GB"/>
        </w:rPr>
        <w:t xml:space="preserve"> Decade of Ocean Science for Sustainable</w:t>
      </w:r>
      <w:r w:rsidR="00DC702F" w:rsidRPr="004629DF">
        <w:rPr>
          <w:rFonts w:cs="Arial"/>
          <w:lang w:val="en-GB"/>
        </w:rPr>
        <w:t xml:space="preserve"> Development (2021</w:t>
      </w:r>
      <w:r w:rsidR="00DC702F" w:rsidRPr="004629DF">
        <w:rPr>
          <w:rFonts w:cs="Arial"/>
          <w:lang w:val="en-GB"/>
        </w:rPr>
        <w:t>–</w:t>
      </w:r>
      <w:r w:rsidR="00DC702F" w:rsidRPr="004629DF">
        <w:rPr>
          <w:rFonts w:cs="Arial"/>
          <w:lang w:val="en-GB"/>
        </w:rPr>
        <w:t>2030)</w:t>
      </w:r>
      <w:r w:rsidR="00FC0350" w:rsidRPr="004629DF">
        <w:rPr>
          <w:rFonts w:cs="Arial"/>
          <w:lang w:val="en-GB"/>
        </w:rPr>
        <w:t xml:space="preserve">. </w:t>
      </w:r>
      <w:r w:rsidRPr="004629DF">
        <w:rPr>
          <w:rFonts w:cs="Arial"/>
          <w:lang w:val="en-GB"/>
        </w:rPr>
        <w:t>The conference had an international focus and gathered</w:t>
      </w:r>
      <w:r w:rsidR="002A6478" w:rsidRPr="004629DF">
        <w:rPr>
          <w:rFonts w:cs="Arial"/>
          <w:lang w:val="en-GB"/>
        </w:rPr>
        <w:t>,</w:t>
      </w:r>
      <w:r w:rsidRPr="004629DF">
        <w:rPr>
          <w:rFonts w:cs="Arial"/>
          <w:lang w:val="en-GB"/>
        </w:rPr>
        <w:t xml:space="preserve"> for the first time</w:t>
      </w:r>
      <w:r w:rsidR="002A6478" w:rsidRPr="004629DF">
        <w:rPr>
          <w:rFonts w:cs="Arial"/>
          <w:lang w:val="en-GB"/>
        </w:rPr>
        <w:t>,</w:t>
      </w:r>
      <w:r w:rsidRPr="004629DF">
        <w:rPr>
          <w:rFonts w:cs="Arial"/>
          <w:lang w:val="en-GB"/>
        </w:rPr>
        <w:t xml:space="preserve"> over 100</w:t>
      </w:r>
      <w:r w:rsidR="00CC7622">
        <w:rPr>
          <w:rFonts w:cs="Arial"/>
          <w:lang w:val="en-GB"/>
        </w:rPr>
        <w:t> </w:t>
      </w:r>
      <w:r w:rsidRPr="004629DF">
        <w:rPr>
          <w:rFonts w:cs="Arial"/>
          <w:lang w:val="en-GB"/>
        </w:rPr>
        <w:t>participants from 30</w:t>
      </w:r>
      <w:r w:rsidR="00CC7622">
        <w:rPr>
          <w:rFonts w:cs="Arial"/>
          <w:lang w:val="en-GB"/>
        </w:rPr>
        <w:t> </w:t>
      </w:r>
      <w:r w:rsidRPr="004629DF">
        <w:rPr>
          <w:rFonts w:cs="Arial"/>
          <w:lang w:val="en-GB"/>
        </w:rPr>
        <w:t>countries covering Europe, Africa, North and South America and Asia. A wide variety of speakers</w:t>
      </w:r>
      <w:r w:rsidRPr="004629DF">
        <w:rPr>
          <w:rFonts w:cs="Arial"/>
          <w:lang w:val="en-GB"/>
        </w:rPr>
        <w:t>—</w:t>
      </w:r>
      <w:r w:rsidRPr="004629DF">
        <w:rPr>
          <w:rFonts w:cs="Arial"/>
          <w:lang w:val="en-GB"/>
        </w:rPr>
        <w:t>educators, scientists, activists, journalists, contemporary art curators and foundations</w:t>
      </w:r>
      <w:r w:rsidR="00C802AD">
        <w:rPr>
          <w:rFonts w:cs="Arial"/>
          <w:lang w:val="en-GB"/>
        </w:rPr>
        <w:t>—</w:t>
      </w:r>
      <w:r w:rsidRPr="004629DF">
        <w:rPr>
          <w:rFonts w:cs="Arial"/>
          <w:lang w:val="en-GB"/>
        </w:rPr>
        <w:t>joined. Research, art and communication working together for the ocean will be essential in the Ocean Literacy process. Good practices in formal and non-formal education as well as examples of successful public-private partnerships were presented to create the basis for an exchange amongst the participants.</w:t>
      </w:r>
    </w:p>
    <w:p w14:paraId="07EDC35B" w14:textId="1503C0BA" w:rsidR="00DE4430" w:rsidRPr="004629DF" w:rsidRDefault="00DE4430" w:rsidP="004629DF">
      <w:pPr>
        <w:pStyle w:val="ListParagraph"/>
        <w:numPr>
          <w:ilvl w:val="1"/>
          <w:numId w:val="35"/>
        </w:numPr>
        <w:ind w:left="709" w:hanging="709"/>
        <w:jc w:val="both"/>
        <w:rPr>
          <w:rFonts w:hAnsi="Arial" w:cs="Arial"/>
          <w:lang w:val="en-GB"/>
        </w:rPr>
      </w:pPr>
      <w:r w:rsidRPr="004629DF">
        <w:rPr>
          <w:rFonts w:hAnsi="Arial" w:cs="Arial"/>
          <w:b/>
          <w:lang w:val="en-GB"/>
        </w:rPr>
        <w:t>Ocean Literacy for All – A toolkit</w:t>
      </w:r>
      <w:r w:rsidR="00CC7622">
        <w:rPr>
          <w:rFonts w:hAnsi="Arial" w:cs="Arial"/>
          <w:lang w:val="en-GB"/>
        </w:rPr>
        <w:t xml:space="preserve">. </w:t>
      </w:r>
      <w:r w:rsidRPr="004629DF">
        <w:rPr>
          <w:rFonts w:hAnsi="Arial" w:cs="Arial"/>
          <w:lang w:val="en-GB"/>
        </w:rPr>
        <w:t xml:space="preserve">The two-part </w:t>
      </w:r>
      <w:r w:rsidR="00CC7622">
        <w:rPr>
          <w:rFonts w:hAnsi="Arial" w:cs="Arial"/>
          <w:lang w:val="en-GB"/>
        </w:rPr>
        <w:t>of this Manual (</w:t>
      </w:r>
      <w:hyperlink r:id="rId14" w:history="1">
        <w:r w:rsidR="00CC7622" w:rsidRPr="00CC7622">
          <w:rPr>
            <w:rStyle w:val="Hyperlink"/>
            <w:rFonts w:hAnsi="Arial" w:cs="Arial"/>
            <w:lang w:val="en-GB"/>
          </w:rPr>
          <w:t>IOC/2017/MG/80 REV.</w:t>
        </w:r>
      </w:hyperlink>
      <w:r w:rsidR="00CC7622">
        <w:rPr>
          <w:rFonts w:hAnsi="Arial" w:cs="Arial"/>
          <w:lang w:val="en-GB"/>
        </w:rPr>
        <w:t>)</w:t>
      </w:r>
      <w:hyperlink r:id="rId15" w:history="1"/>
      <w:r w:rsidRPr="004629DF">
        <w:rPr>
          <w:rFonts w:hAnsi="Arial" w:cs="Arial"/>
          <w:lang w:val="en-GB"/>
        </w:rPr>
        <w:t xml:space="preserve"> produced by UNESCO’s Regional Bureau for Science and Culture in Europe (Venice, Italy) and the Intergovernmental Oceanographic Commission (IOC) is the result of </w:t>
      </w:r>
      <w:r w:rsidR="00CC7622">
        <w:rPr>
          <w:rFonts w:hAnsi="Arial" w:cs="Arial"/>
          <w:lang w:val="en-GB"/>
        </w:rPr>
        <w:t xml:space="preserve">the </w:t>
      </w:r>
      <w:r w:rsidRPr="004629DF">
        <w:rPr>
          <w:rFonts w:hAnsi="Arial" w:cs="Arial"/>
          <w:lang w:val="en-GB"/>
        </w:rPr>
        <w:t xml:space="preserve">joint work and contributions by members of the global partnership led by IOC. It builds on the “Ocean Literacy for All” initiative, as well as the Call for Action issued at the end of the UN Ocean Conference, which calls on all stakeholders to “support plans to foster ocean-related education […] to promote ocean literacy”. The publication provides educators and learners worldwide </w:t>
      </w:r>
      <w:r w:rsidR="00CC7622">
        <w:rPr>
          <w:rFonts w:hAnsi="Arial" w:cs="Arial"/>
          <w:lang w:val="en-GB"/>
        </w:rPr>
        <w:t xml:space="preserve">with </w:t>
      </w:r>
      <w:r w:rsidRPr="004629DF">
        <w:rPr>
          <w:rFonts w:hAnsi="Arial" w:cs="Arial"/>
          <w:lang w:val="en-GB"/>
        </w:rPr>
        <w:t xml:space="preserve">innovative tools, methods and resources to understand the complex ocean processes and functions and, as well, to alert them on the most urgent ocean issues. It presents the essential scientific principles and information needed to understand the cause-effect relationship between individual and collective behaviour, and the impacts that threaten the ocean health. Trust is that it will inspire citizens, scientists, educators and learners to take greater personal responsibility for the ocean, as well as work through partnerships and networks, sharing ideas and experiences and developing new approaches and initiatives in support of ocean literacy. As the marine environment takes centre-stage in the pursuit of sustainable development, today more than ever, it is crucial to ensure that citizens and policy-makers are well equipped in their knowledge of how human and ocean well-being are tightly connected. As there can be no sustainable future without a healthy ocean, Ocean Literacy is key to achieving the </w:t>
      </w:r>
      <w:r w:rsidR="00C802AD" w:rsidRPr="00495BD0">
        <w:rPr>
          <w:rFonts w:hAnsi="Arial" w:cs="Arial"/>
          <w:lang w:val="en-GB"/>
        </w:rPr>
        <w:t>2030</w:t>
      </w:r>
      <w:r w:rsidR="00C802AD">
        <w:rPr>
          <w:rFonts w:hAnsi="Arial" w:cs="Arial"/>
          <w:lang w:val="en-GB"/>
        </w:rPr>
        <w:t xml:space="preserve"> </w:t>
      </w:r>
      <w:r w:rsidRPr="004629DF">
        <w:rPr>
          <w:rFonts w:hAnsi="Arial" w:cs="Arial"/>
          <w:lang w:val="en-GB"/>
        </w:rPr>
        <w:t xml:space="preserve">Agenda for Sustainable Development. The </w:t>
      </w:r>
      <w:r w:rsidRPr="004629DF">
        <w:rPr>
          <w:rFonts w:hAnsi="Arial" w:cs="Arial"/>
          <w:i/>
          <w:lang w:val="en-GB"/>
        </w:rPr>
        <w:t>Ocean Literacy for All – A Toolkit</w:t>
      </w:r>
      <w:r w:rsidRPr="004629DF">
        <w:rPr>
          <w:rFonts w:hAnsi="Arial" w:cs="Arial"/>
          <w:lang w:val="en-GB"/>
        </w:rPr>
        <w:t xml:space="preserve"> </w:t>
      </w:r>
      <w:r w:rsidR="00005C82" w:rsidRPr="004629DF">
        <w:rPr>
          <w:rFonts w:hAnsi="Arial" w:cs="Arial"/>
          <w:lang w:val="en-GB"/>
        </w:rPr>
        <w:t xml:space="preserve">is currently </w:t>
      </w:r>
      <w:r w:rsidRPr="004629DF">
        <w:rPr>
          <w:rFonts w:hAnsi="Arial" w:cs="Arial"/>
          <w:lang w:val="en-GB"/>
        </w:rPr>
        <w:t>be</w:t>
      </w:r>
      <w:r w:rsidR="00005C82" w:rsidRPr="004629DF">
        <w:rPr>
          <w:rFonts w:hAnsi="Arial" w:cs="Arial"/>
          <w:lang w:val="en-GB"/>
        </w:rPr>
        <w:t>ing</w:t>
      </w:r>
      <w:r w:rsidRPr="004629DF">
        <w:rPr>
          <w:rFonts w:hAnsi="Arial" w:cs="Arial"/>
          <w:lang w:val="en-GB"/>
        </w:rPr>
        <w:t xml:space="preserve"> tested in schools of 35</w:t>
      </w:r>
      <w:r w:rsidR="00CC7622">
        <w:rPr>
          <w:rFonts w:hAnsi="Arial" w:cs="Arial"/>
          <w:lang w:val="en-GB"/>
        </w:rPr>
        <w:t> </w:t>
      </w:r>
      <w:r w:rsidRPr="004629DF">
        <w:rPr>
          <w:rFonts w:hAnsi="Arial" w:cs="Arial"/>
          <w:lang w:val="en-GB"/>
        </w:rPr>
        <w:t xml:space="preserve">countries belonging to the UNESCO Network of Associated Schools. </w:t>
      </w:r>
      <w:r w:rsidR="00005C82" w:rsidRPr="004629DF">
        <w:rPr>
          <w:rFonts w:hAnsi="Arial" w:cs="Arial"/>
          <w:lang w:val="en-GB"/>
        </w:rPr>
        <w:t xml:space="preserve">The results of the test will be available during </w:t>
      </w:r>
      <w:r w:rsidR="001D559D" w:rsidRPr="004629DF">
        <w:rPr>
          <w:rFonts w:hAnsi="Arial" w:cs="Arial"/>
          <w:lang w:val="en-GB"/>
        </w:rPr>
        <w:t>fall</w:t>
      </w:r>
      <w:r w:rsidR="00005C82" w:rsidRPr="004629DF">
        <w:rPr>
          <w:rFonts w:hAnsi="Arial" w:cs="Arial"/>
          <w:lang w:val="en-GB"/>
        </w:rPr>
        <w:t xml:space="preserve"> 2019.</w:t>
      </w:r>
    </w:p>
    <w:p w14:paraId="476C1EB3" w14:textId="47567106" w:rsidR="00DE4430" w:rsidRPr="004629DF" w:rsidRDefault="00DE4430" w:rsidP="00E1044D">
      <w:pPr>
        <w:pStyle w:val="ListParagraph"/>
        <w:numPr>
          <w:ilvl w:val="1"/>
          <w:numId w:val="35"/>
        </w:numPr>
        <w:ind w:left="709" w:hanging="709"/>
        <w:jc w:val="both"/>
        <w:rPr>
          <w:rFonts w:hAnsi="Arial" w:cs="Arial"/>
          <w:lang w:val="en-GB"/>
        </w:rPr>
      </w:pPr>
      <w:r w:rsidRPr="004629DF">
        <w:rPr>
          <w:rFonts w:hAnsi="Arial" w:cs="Arial"/>
          <w:b/>
          <w:lang w:val="en-GB"/>
        </w:rPr>
        <w:t>Ocean Literacy online platfor</w:t>
      </w:r>
      <w:r w:rsidR="00CC7622" w:rsidRPr="004629DF">
        <w:rPr>
          <w:rFonts w:hAnsi="Arial" w:cs="Arial"/>
          <w:b/>
          <w:lang w:val="en-GB"/>
        </w:rPr>
        <w:t>m.</w:t>
      </w:r>
      <w:r w:rsidR="00CC7622">
        <w:rPr>
          <w:rFonts w:hAnsi="Arial" w:cs="Arial"/>
          <w:lang w:val="en-GB"/>
        </w:rPr>
        <w:t xml:space="preserve"> </w:t>
      </w:r>
      <w:r w:rsidRPr="004629DF">
        <w:rPr>
          <w:rFonts w:hAnsi="Arial" w:cs="Arial"/>
          <w:lang w:val="en-GB"/>
        </w:rPr>
        <w:t xml:space="preserve">The ocean literacy online platform </w:t>
      </w:r>
      <w:r w:rsidR="002A6478" w:rsidRPr="004629DF">
        <w:rPr>
          <w:rFonts w:hAnsi="Arial" w:cs="Arial"/>
          <w:lang w:val="en-GB"/>
        </w:rPr>
        <w:t>(</w:t>
      </w:r>
      <w:hyperlink r:id="rId16" w:history="1">
        <w:r w:rsidR="00005C82" w:rsidRPr="004629DF">
          <w:rPr>
            <w:rStyle w:val="Hyperlink"/>
            <w:lang w:val="en-GB"/>
          </w:rPr>
          <w:t>oceanliteracy.unesco.org</w:t>
        </w:r>
      </w:hyperlink>
      <w:r w:rsidR="002A6478" w:rsidRPr="004629DF">
        <w:rPr>
          <w:rFonts w:hAnsi="Arial" w:cs="Arial"/>
          <w:lang w:val="en-GB"/>
        </w:rPr>
        <w:t xml:space="preserve">) </w:t>
      </w:r>
      <w:r w:rsidRPr="004629DF">
        <w:rPr>
          <w:rFonts w:hAnsi="Arial" w:cs="Arial"/>
          <w:lang w:val="en-GB"/>
        </w:rPr>
        <w:t xml:space="preserve">aims at sharing resources, projects and people on ocean literacy for sustainable development. The platform will also have an intranet section to facilitate collaboration among those interested in developing joint ocean literacy activities. </w:t>
      </w:r>
    </w:p>
    <w:p w14:paraId="19E28C0D" w14:textId="1C11B36A" w:rsidR="00DE4430" w:rsidRPr="004629DF" w:rsidRDefault="00DE4430" w:rsidP="00E1044D">
      <w:pPr>
        <w:pStyle w:val="ListParagraph"/>
        <w:numPr>
          <w:ilvl w:val="1"/>
          <w:numId w:val="35"/>
        </w:numPr>
        <w:ind w:left="709" w:hanging="709"/>
        <w:jc w:val="both"/>
        <w:rPr>
          <w:rFonts w:hAnsi="Arial" w:cs="Arial"/>
          <w:lang w:val="en-GB"/>
        </w:rPr>
      </w:pPr>
      <w:r w:rsidRPr="004629DF">
        <w:rPr>
          <w:rFonts w:hAnsi="Arial" w:cs="Arial"/>
          <w:b/>
          <w:lang w:val="en-GB"/>
        </w:rPr>
        <w:t>Sea Change Project</w:t>
      </w:r>
      <w:r w:rsidR="00CC7622">
        <w:rPr>
          <w:rFonts w:hAnsi="Arial" w:cs="Arial"/>
          <w:lang w:val="en-GB"/>
        </w:rPr>
        <w:t xml:space="preserve">. </w:t>
      </w:r>
      <w:r w:rsidRPr="004629DF">
        <w:rPr>
          <w:rFonts w:hAnsi="Arial" w:cs="Arial"/>
          <w:lang w:val="en-GB"/>
        </w:rPr>
        <w:t>Sea Change was a EU H</w:t>
      </w:r>
      <w:r w:rsidR="00CC7622">
        <w:rPr>
          <w:rFonts w:hAnsi="Arial" w:cs="Arial"/>
          <w:lang w:val="en-GB"/>
        </w:rPr>
        <w:t xml:space="preserve">orizon </w:t>
      </w:r>
      <w:r w:rsidRPr="004629DF">
        <w:rPr>
          <w:rFonts w:hAnsi="Arial" w:cs="Arial"/>
          <w:lang w:val="en-GB"/>
        </w:rPr>
        <w:t>2020 funded project that aimed to establish a fundamental “Sea Change” in the way European citizens view their relationship with the sea, by empowering them, as Ocean Literate citizens, to take direct and sustainable action towards a healthy ocean and seas, healthy communities and ultimately a healthy planet. The project r</w:t>
      </w:r>
      <w:r w:rsidR="002A6478" w:rsidRPr="004629DF">
        <w:rPr>
          <w:rFonts w:hAnsi="Arial" w:cs="Arial"/>
          <w:lang w:val="en-GB"/>
        </w:rPr>
        <w:t>a</w:t>
      </w:r>
      <w:r w:rsidRPr="004629DF">
        <w:rPr>
          <w:rFonts w:hAnsi="Arial" w:cs="Arial"/>
          <w:lang w:val="en-GB"/>
        </w:rPr>
        <w:t xml:space="preserve">n from March 2015 to February 2018, and in this </w:t>
      </w:r>
      <w:r w:rsidR="00FC0350" w:rsidRPr="004629DF">
        <w:rPr>
          <w:rFonts w:hAnsi="Arial" w:cs="Arial"/>
          <w:lang w:val="en-GB"/>
        </w:rPr>
        <w:t>context,</w:t>
      </w:r>
      <w:r w:rsidRPr="004629DF">
        <w:rPr>
          <w:rFonts w:hAnsi="Arial" w:cs="Arial"/>
          <w:lang w:val="en-GB"/>
        </w:rPr>
        <w:t xml:space="preserve"> the IOC of UNESCO developed the first Massive Open Online Course (</w:t>
      </w:r>
      <w:hyperlink r:id="rId17" w:history="1">
        <w:r w:rsidRPr="004629DF">
          <w:rPr>
            <w:rStyle w:val="Hyperlink"/>
            <w:rFonts w:hAnsi="Arial" w:cs="Arial"/>
            <w:lang w:val="en-GB"/>
          </w:rPr>
          <w:t>MOOC</w:t>
        </w:r>
      </w:hyperlink>
      <w:r w:rsidRPr="004629DF">
        <w:rPr>
          <w:rFonts w:hAnsi="Arial" w:cs="Arial"/>
          <w:lang w:val="en-GB"/>
        </w:rPr>
        <w:t xml:space="preserve">) on ocean literacy attended by more than 500 participants from all over the world, and the </w:t>
      </w:r>
      <w:hyperlink r:id="rId18" w:history="1">
        <w:r w:rsidRPr="004629DF">
          <w:rPr>
            <w:rStyle w:val="Hyperlink"/>
            <w:rFonts w:hAnsi="Arial" w:cs="Arial"/>
            <w:lang w:val="en-GB"/>
          </w:rPr>
          <w:t>Roadmap for Science-Society-Policy Interface for Ocean Governance</w:t>
        </w:r>
      </w:hyperlink>
      <w:r w:rsidRPr="004629DF">
        <w:rPr>
          <w:rFonts w:hAnsi="Arial" w:cs="Arial"/>
          <w:lang w:val="en-GB"/>
        </w:rPr>
        <w:t xml:space="preserve">. </w:t>
      </w:r>
    </w:p>
    <w:p w14:paraId="23238C17" w14:textId="5D0C86B5" w:rsidR="00DE4430" w:rsidRPr="004629DF" w:rsidRDefault="00DE4430" w:rsidP="00E1044D">
      <w:pPr>
        <w:pStyle w:val="ListParagraph"/>
        <w:numPr>
          <w:ilvl w:val="1"/>
          <w:numId w:val="35"/>
        </w:numPr>
        <w:ind w:left="709" w:hanging="709"/>
        <w:jc w:val="both"/>
        <w:rPr>
          <w:rFonts w:hAnsi="Arial" w:cs="Arial"/>
          <w:lang w:val="en-GB"/>
        </w:rPr>
      </w:pPr>
      <w:r w:rsidRPr="004629DF">
        <w:rPr>
          <w:rFonts w:hAnsi="Arial" w:cs="Arial"/>
          <w:b/>
          <w:lang w:val="en-GB"/>
        </w:rPr>
        <w:t>Global Ocean Science Education (GOSE) workshop</w:t>
      </w:r>
      <w:r w:rsidRPr="004629DF">
        <w:rPr>
          <w:rFonts w:hAnsi="Arial" w:cs="Arial"/>
          <w:lang w:val="en-GB"/>
        </w:rPr>
        <w:t xml:space="preserve"> </w:t>
      </w:r>
      <w:r w:rsidR="00005C82" w:rsidRPr="004629DF">
        <w:rPr>
          <w:rFonts w:hAnsi="Arial" w:cs="Arial"/>
          <w:lang w:val="en-GB"/>
        </w:rPr>
        <w:t>–</w:t>
      </w:r>
      <w:r w:rsidR="00E445D2" w:rsidRPr="004629DF">
        <w:rPr>
          <w:rFonts w:hAnsi="Arial" w:cs="Arial"/>
          <w:lang w:val="en-GB"/>
        </w:rPr>
        <w:t xml:space="preserve"> </w:t>
      </w:r>
      <w:r w:rsidR="00005C82" w:rsidRPr="004629DF">
        <w:rPr>
          <w:rFonts w:hAnsi="Arial" w:cs="Arial"/>
          <w:lang w:val="en-GB"/>
        </w:rPr>
        <w:t>The 2017 edition of GOSE workshop (Venice, 23</w:t>
      </w:r>
      <w:r w:rsidR="00C802AD">
        <w:rPr>
          <w:rFonts w:hAnsi="Arial" w:cs="Arial"/>
          <w:lang w:val="en-GB"/>
        </w:rPr>
        <w:t>–</w:t>
      </w:r>
      <w:r w:rsidR="00005C82" w:rsidRPr="004629DF">
        <w:rPr>
          <w:rFonts w:hAnsi="Arial" w:cs="Arial"/>
          <w:lang w:val="en-GB"/>
        </w:rPr>
        <w:t xml:space="preserve">25 May 2017) was </w:t>
      </w:r>
      <w:r w:rsidRPr="004629DF">
        <w:rPr>
          <w:rFonts w:hAnsi="Arial" w:cs="Arial"/>
          <w:lang w:val="en-GB"/>
        </w:rPr>
        <w:t>sponsored and facilitated by the international Consortium for Ocean Science Exploration and Engagement (COSEE), the IOC, and the College of Exploration with the aim of bringing together ocean science, education, policy and business sectors.</w:t>
      </w:r>
    </w:p>
    <w:p w14:paraId="25C21F21" w14:textId="036CBCF9" w:rsidR="00DE4430" w:rsidRPr="004629DF" w:rsidRDefault="00DE4430" w:rsidP="00E1044D">
      <w:pPr>
        <w:pStyle w:val="ListParagraph"/>
        <w:numPr>
          <w:ilvl w:val="1"/>
          <w:numId w:val="35"/>
        </w:numPr>
        <w:ind w:left="709" w:hanging="709"/>
        <w:jc w:val="both"/>
        <w:rPr>
          <w:rFonts w:hAnsi="Arial" w:cs="Arial"/>
          <w:lang w:val="en-GB"/>
        </w:rPr>
      </w:pPr>
      <w:r w:rsidRPr="004629DF">
        <w:rPr>
          <w:rFonts w:hAnsi="Arial" w:cs="Arial"/>
          <w:b/>
          <w:lang w:val="en-GB"/>
        </w:rPr>
        <w:t>Ocean Teacher Global Academy (OTGA) Training course on Ocean Literacy and Story Telling Maps</w:t>
      </w:r>
      <w:r w:rsidRPr="004629DF">
        <w:rPr>
          <w:rFonts w:hAnsi="Arial" w:cs="Arial"/>
          <w:lang w:val="en-GB"/>
        </w:rPr>
        <w:t xml:space="preserve"> – It took place in Santa Marta (Colombia)</w:t>
      </w:r>
      <w:r w:rsidR="00005C82" w:rsidRPr="004629DF">
        <w:rPr>
          <w:rFonts w:hAnsi="Arial" w:cs="Arial"/>
          <w:lang w:val="en-GB"/>
        </w:rPr>
        <w:t xml:space="preserve"> on 13</w:t>
      </w:r>
      <w:r w:rsidR="00C802AD">
        <w:rPr>
          <w:rFonts w:hAnsi="Arial" w:cs="Arial"/>
          <w:lang w:val="en-GB"/>
        </w:rPr>
        <w:t>–</w:t>
      </w:r>
      <w:r w:rsidR="00005C82" w:rsidRPr="004629DF">
        <w:rPr>
          <w:rFonts w:hAnsi="Arial" w:cs="Arial"/>
          <w:lang w:val="en-GB"/>
        </w:rPr>
        <w:t xml:space="preserve">15 September 2017, </w:t>
      </w:r>
      <w:r w:rsidRPr="004629DF">
        <w:rPr>
          <w:rFonts w:hAnsi="Arial" w:cs="Arial"/>
          <w:lang w:val="en-GB"/>
        </w:rPr>
        <w:t>back to back with International Coastal Atlas Network (ICAN 8)</w:t>
      </w:r>
      <w:r w:rsidR="00DC702F" w:rsidRPr="004629DF">
        <w:rPr>
          <w:rFonts w:hAnsi="Arial" w:cs="Arial"/>
          <w:lang w:val="en-GB"/>
        </w:rPr>
        <w:t>. This allow</w:t>
      </w:r>
      <w:r w:rsidR="00C802AD">
        <w:rPr>
          <w:rFonts w:hAnsi="Arial" w:cs="Arial"/>
          <w:lang w:val="en-GB"/>
        </w:rPr>
        <w:t>ed</w:t>
      </w:r>
      <w:r w:rsidR="00DC702F" w:rsidRPr="004629DF">
        <w:rPr>
          <w:rFonts w:hAnsi="Arial" w:cs="Arial"/>
          <w:lang w:val="en-GB"/>
        </w:rPr>
        <w:t xml:space="preserve"> </w:t>
      </w:r>
      <w:r w:rsidR="00FC0350" w:rsidRPr="004629DF">
        <w:rPr>
          <w:rFonts w:hAnsi="Arial" w:cs="Arial"/>
          <w:lang w:val="en-GB"/>
        </w:rPr>
        <w:t>linking</w:t>
      </w:r>
      <w:r w:rsidRPr="004629DF">
        <w:rPr>
          <w:rFonts w:hAnsi="Arial" w:cs="Arial"/>
          <w:lang w:val="en-GB"/>
        </w:rPr>
        <w:t xml:space="preserve"> both events in a complementary way, </w:t>
      </w:r>
      <w:r w:rsidR="00DC702F" w:rsidRPr="004629DF">
        <w:rPr>
          <w:rFonts w:hAnsi="Arial" w:cs="Arial"/>
          <w:lang w:val="en-GB"/>
        </w:rPr>
        <w:t>and</w:t>
      </w:r>
      <w:r w:rsidRPr="004629DF">
        <w:rPr>
          <w:rFonts w:hAnsi="Arial" w:cs="Arial"/>
          <w:lang w:val="en-GB"/>
        </w:rPr>
        <w:t xml:space="preserve"> ICAN experts to support the OTGA course as instructors and teachers</w:t>
      </w:r>
      <w:r w:rsidR="00DC702F" w:rsidRPr="004629DF">
        <w:rPr>
          <w:rFonts w:hAnsi="Arial" w:cs="Arial"/>
          <w:lang w:val="en-GB"/>
        </w:rPr>
        <w:t>.</w:t>
      </w:r>
      <w:r w:rsidRPr="004629DF">
        <w:rPr>
          <w:rFonts w:hAnsi="Arial" w:cs="Arial"/>
          <w:lang w:val="en-GB"/>
        </w:rPr>
        <w:t xml:space="preserve"> </w:t>
      </w:r>
      <w:r w:rsidR="00FC0350" w:rsidRPr="004629DF">
        <w:rPr>
          <w:rFonts w:hAnsi="Arial" w:cs="Arial"/>
          <w:lang w:val="en-GB"/>
        </w:rPr>
        <w:t xml:space="preserve">Fifteen </w:t>
      </w:r>
      <w:r w:rsidR="00005C82" w:rsidRPr="004629DF">
        <w:rPr>
          <w:rFonts w:hAnsi="Arial" w:cs="Arial"/>
          <w:lang w:val="en-GB"/>
        </w:rPr>
        <w:t>s</w:t>
      </w:r>
      <w:r w:rsidRPr="004629DF">
        <w:rPr>
          <w:rFonts w:hAnsi="Arial" w:cs="Arial"/>
          <w:lang w:val="en-GB"/>
        </w:rPr>
        <w:t xml:space="preserve">tudents from all over South America participated </w:t>
      </w:r>
      <w:r w:rsidR="00005C82" w:rsidRPr="004629DF">
        <w:rPr>
          <w:rFonts w:hAnsi="Arial" w:cs="Arial"/>
          <w:lang w:val="en-GB"/>
        </w:rPr>
        <w:t xml:space="preserve">and </w:t>
      </w:r>
      <w:r w:rsidRPr="004629DF">
        <w:rPr>
          <w:rFonts w:hAnsi="Arial" w:cs="Arial"/>
          <w:lang w:val="en-GB"/>
        </w:rPr>
        <w:t>worked in teams to produce story</w:t>
      </w:r>
      <w:r w:rsidR="0069614B">
        <w:rPr>
          <w:rFonts w:hAnsi="Arial" w:cs="Arial"/>
          <w:lang w:val="en-GB"/>
        </w:rPr>
        <w:t xml:space="preserve"> telling</w:t>
      </w:r>
      <w:r w:rsidRPr="004629DF">
        <w:rPr>
          <w:rFonts w:hAnsi="Arial" w:cs="Arial"/>
          <w:lang w:val="en-GB"/>
        </w:rPr>
        <w:t xml:space="preserve"> maps on coastal and marine issues within an OL context. The course promoted collaborative work and cooperation and facilitated practical use of story mapping technology and as such cultivated networking of course participants across diverse fields of expertise</w:t>
      </w:r>
      <w:r w:rsidR="0069614B">
        <w:rPr>
          <w:rFonts w:hAnsi="Arial" w:cs="Arial"/>
          <w:lang w:val="en-GB"/>
        </w:rPr>
        <w:t>,</w:t>
      </w:r>
      <w:r w:rsidRPr="004629DF">
        <w:rPr>
          <w:rFonts w:hAnsi="Arial" w:cs="Arial"/>
          <w:lang w:val="en-GB"/>
        </w:rPr>
        <w:t xml:space="preserve"> e.g. fisheries, ocean biodiversity or risk and disaster management across South America.</w:t>
      </w:r>
    </w:p>
    <w:p w14:paraId="2331077D" w14:textId="2155D3E4" w:rsidR="00DE4430" w:rsidRPr="004629DF" w:rsidRDefault="00DE4430" w:rsidP="00E1044D">
      <w:pPr>
        <w:pStyle w:val="ListParagraph"/>
        <w:numPr>
          <w:ilvl w:val="1"/>
          <w:numId w:val="35"/>
        </w:numPr>
        <w:ind w:left="709" w:hanging="709"/>
        <w:jc w:val="both"/>
        <w:rPr>
          <w:rFonts w:hAnsi="Arial" w:cs="Arial"/>
          <w:lang w:val="en-GB"/>
        </w:rPr>
      </w:pPr>
      <w:r w:rsidRPr="004629DF">
        <w:rPr>
          <w:rFonts w:hAnsi="Arial" w:cs="Arial"/>
          <w:b/>
          <w:lang w:val="en-GB"/>
        </w:rPr>
        <w:t>One Ocean Forum</w:t>
      </w:r>
      <w:r w:rsidRPr="004629DF">
        <w:rPr>
          <w:rFonts w:hAnsi="Arial" w:cs="Arial"/>
          <w:lang w:val="en-GB"/>
        </w:rPr>
        <w:t xml:space="preserve"> – One Ocean Forum was held in Milan </w:t>
      </w:r>
      <w:r w:rsidR="0069614B">
        <w:rPr>
          <w:rFonts w:hAnsi="Arial" w:cs="Arial"/>
          <w:lang w:val="en-GB"/>
        </w:rPr>
        <w:t>in</w:t>
      </w:r>
      <w:r w:rsidRPr="004629DF">
        <w:rPr>
          <w:rFonts w:hAnsi="Arial" w:cs="Arial"/>
          <w:lang w:val="en-GB"/>
        </w:rPr>
        <w:t xml:space="preserve"> October 2017, promoted by the Yacht Club Costa Smeralda, under the high patronage of Princess Zahra Aga Khan, the forum brought together major stakeholders, and prominent experts from different fields to open an international dialogue on marine preservation. The discussion developed around pressing issues such as marine litter, and climate change, and solutions such as blue technologies and innovation, and ocean literacy.</w:t>
      </w:r>
    </w:p>
    <w:p w14:paraId="2AF8F95D" w14:textId="77797024" w:rsidR="00DE4430" w:rsidRPr="004629DF" w:rsidRDefault="00DE4430" w:rsidP="00E1044D">
      <w:pPr>
        <w:pStyle w:val="ListParagraph"/>
        <w:numPr>
          <w:ilvl w:val="1"/>
          <w:numId w:val="35"/>
        </w:numPr>
        <w:ind w:left="709" w:hanging="709"/>
        <w:jc w:val="both"/>
        <w:rPr>
          <w:rFonts w:hAnsi="Arial" w:cs="Arial"/>
          <w:lang w:val="en-GB"/>
        </w:rPr>
      </w:pPr>
      <w:r w:rsidRPr="004629DF">
        <w:rPr>
          <w:rFonts w:hAnsi="Arial" w:cs="Arial"/>
          <w:b/>
          <w:lang w:val="en-GB"/>
        </w:rPr>
        <w:t>Collaboration with ocean literacy regional and national networks</w:t>
      </w:r>
      <w:r w:rsidRPr="004629DF">
        <w:rPr>
          <w:rFonts w:hAnsi="Arial" w:cs="Arial"/>
          <w:lang w:val="en-GB"/>
        </w:rPr>
        <w:t xml:space="preserve"> – The IOC collaborates and participates in the conferences and activities organized at regional level by different marine science educators associations, such as the European Marine Science Educators Association (EMSEA), the Asia Marine Science Educators Association (AMEA), and the National Marine Educators Association (NMEA). The IOC has also facilitated the creation of national network</w:t>
      </w:r>
      <w:r w:rsidR="0069614B">
        <w:rPr>
          <w:rFonts w:hAnsi="Arial" w:cs="Arial"/>
          <w:lang w:val="en-GB"/>
        </w:rPr>
        <w:t>s</w:t>
      </w:r>
      <w:r w:rsidRPr="004629DF">
        <w:rPr>
          <w:rFonts w:hAnsi="Arial" w:cs="Arial"/>
          <w:lang w:val="en-GB"/>
        </w:rPr>
        <w:t xml:space="preserve"> on ocean literacy such as the Italian Network, Ocean Literacy Italia.</w:t>
      </w:r>
    </w:p>
    <w:p w14:paraId="2C832C0B" w14:textId="33234D97" w:rsidR="00DE4430" w:rsidRPr="004629DF" w:rsidRDefault="00DE4430" w:rsidP="00E1044D">
      <w:pPr>
        <w:pStyle w:val="ListParagraph"/>
        <w:numPr>
          <w:ilvl w:val="1"/>
          <w:numId w:val="35"/>
        </w:numPr>
        <w:ind w:left="709" w:hanging="709"/>
        <w:jc w:val="both"/>
        <w:rPr>
          <w:rFonts w:hAnsi="Arial" w:cs="Arial"/>
          <w:lang w:val="en-GB"/>
        </w:rPr>
      </w:pPr>
      <w:r w:rsidRPr="004629DF">
        <w:rPr>
          <w:rFonts w:hAnsi="Arial" w:cs="Arial"/>
          <w:b/>
          <w:lang w:val="en-GB"/>
        </w:rPr>
        <w:t>Partnership with Sky Group</w:t>
      </w:r>
      <w:r w:rsidRPr="004629DF">
        <w:rPr>
          <w:rFonts w:hAnsi="Arial" w:cs="Arial"/>
          <w:lang w:val="en-GB"/>
        </w:rPr>
        <w:t xml:space="preserve"> – The IOC has established a partnership with Sky and its Ocean Rescue Programme to </w:t>
      </w:r>
      <w:r w:rsidR="00005C82" w:rsidRPr="004629DF">
        <w:rPr>
          <w:rFonts w:hAnsi="Arial" w:cs="Arial"/>
          <w:lang w:val="en-GB"/>
        </w:rPr>
        <w:t xml:space="preserve">produce short documentaries and </w:t>
      </w:r>
      <w:r w:rsidR="00DC702F" w:rsidRPr="004629DF">
        <w:rPr>
          <w:rFonts w:hAnsi="Arial" w:cs="Arial"/>
          <w:lang w:val="en-GB"/>
        </w:rPr>
        <w:t>special reports on ocean literacy (</w:t>
      </w:r>
      <w:hyperlink r:id="rId19" w:history="1">
        <w:r w:rsidR="00DC702F" w:rsidRPr="004629DF">
          <w:rPr>
            <w:rStyle w:val="Hyperlink"/>
            <w:rFonts w:hAnsi="Arial" w:cs="Arial"/>
            <w:lang w:val="en-GB"/>
          </w:rPr>
          <w:t>https://tg24.sky.it/ambiente/sky-un-mare-da-salvare.html?intcmp=tg24_hottopics</w:t>
        </w:r>
      </w:hyperlink>
      <w:r w:rsidR="00DC702F" w:rsidRPr="004629DF">
        <w:rPr>
          <w:rFonts w:hAnsi="Arial" w:cs="Arial"/>
          <w:lang w:val="en-GB"/>
        </w:rPr>
        <w:t>)</w:t>
      </w:r>
      <w:r w:rsidR="0069614B">
        <w:rPr>
          <w:rFonts w:hAnsi="Arial" w:cs="Arial"/>
          <w:lang w:val="en-GB"/>
        </w:rPr>
        <w:t>.</w:t>
      </w:r>
    </w:p>
    <w:p w14:paraId="3F3D71DF" w14:textId="6C646322" w:rsidR="00E445D2" w:rsidRPr="004629DF" w:rsidRDefault="00E445D2" w:rsidP="00E1044D">
      <w:pPr>
        <w:pStyle w:val="ListParagraph"/>
        <w:numPr>
          <w:ilvl w:val="1"/>
          <w:numId w:val="35"/>
        </w:numPr>
        <w:ind w:left="709" w:hanging="709"/>
        <w:jc w:val="both"/>
        <w:rPr>
          <w:rFonts w:hAnsi="Arial" w:cs="Arial"/>
          <w:lang w:val="en-GB"/>
        </w:rPr>
      </w:pPr>
      <w:r w:rsidRPr="004629DF">
        <w:rPr>
          <w:rFonts w:hAnsi="Arial" w:cs="Arial"/>
          <w:b/>
          <w:lang w:val="en-GB"/>
        </w:rPr>
        <w:t>Collaboration with Ocean School</w:t>
      </w:r>
      <w:r w:rsidRPr="004629DF">
        <w:rPr>
          <w:rFonts w:hAnsi="Arial" w:cs="Arial"/>
          <w:lang w:val="en-GB"/>
        </w:rPr>
        <w:t xml:space="preserve"> – </w:t>
      </w:r>
      <w:hyperlink r:id="rId20" w:history="1">
        <w:r w:rsidRPr="004629DF">
          <w:rPr>
            <w:rStyle w:val="Hyperlink"/>
            <w:rFonts w:hAnsi="Arial" w:cs="Arial"/>
            <w:lang w:val="en-GB"/>
          </w:rPr>
          <w:t>Ocean School</w:t>
        </w:r>
      </w:hyperlink>
      <w:r w:rsidRPr="004629DF">
        <w:rPr>
          <w:rFonts w:hAnsi="Arial" w:cs="Arial"/>
          <w:lang w:val="en-GB"/>
        </w:rPr>
        <w:t xml:space="preserve"> is a joint initiative of Dalhousie University, the Ocean Frontier Institute and the National Film Board of Canada (NFB) to advance ocean literacy. Ocean School is a revolutionary, state-of-the-art, cutting-edge science educational programme that employs the newest immersive technologies and an action-driven inquiry-based learning methodology to build environmental awareness and social change. Through partnership with the IOC, Ocean School developed its first internationally-focused content, and worked to increase the accessibility and impact of the program</w:t>
      </w:r>
      <w:r w:rsidR="00B17F46" w:rsidRPr="004629DF">
        <w:rPr>
          <w:rFonts w:hAnsi="Arial" w:cs="Arial"/>
          <w:lang w:val="en-GB"/>
        </w:rPr>
        <w:t>me</w:t>
      </w:r>
      <w:r w:rsidRPr="004629DF">
        <w:rPr>
          <w:rFonts w:hAnsi="Arial" w:cs="Arial"/>
          <w:lang w:val="en-GB"/>
        </w:rPr>
        <w:t xml:space="preserve"> in the international community.  </w:t>
      </w:r>
    </w:p>
    <w:p w14:paraId="3346439E" w14:textId="495E3123" w:rsidR="00E445D2" w:rsidRPr="004629DF" w:rsidRDefault="00E445D2" w:rsidP="00E1044D">
      <w:pPr>
        <w:pStyle w:val="ListParagraph"/>
        <w:numPr>
          <w:ilvl w:val="1"/>
          <w:numId w:val="35"/>
        </w:numPr>
        <w:ind w:left="709" w:hanging="709"/>
        <w:jc w:val="both"/>
        <w:rPr>
          <w:rFonts w:hAnsi="Arial" w:cs="Arial"/>
          <w:lang w:val="en-GB"/>
        </w:rPr>
      </w:pPr>
      <w:r w:rsidRPr="004629DF">
        <w:rPr>
          <w:rFonts w:hAnsi="Arial" w:cs="Arial"/>
          <w:b/>
          <w:lang w:val="en-GB"/>
        </w:rPr>
        <w:t>Organization of the first international training workshop on the Ocean School program</w:t>
      </w:r>
      <w:r w:rsidRPr="004629DF">
        <w:rPr>
          <w:rFonts w:hAnsi="Arial" w:cs="Arial"/>
          <w:lang w:val="en-GB"/>
        </w:rPr>
        <w:t xml:space="preserve"> </w:t>
      </w:r>
      <w:r w:rsidR="005F227A">
        <w:rPr>
          <w:rFonts w:hAnsi="Arial" w:cs="Arial"/>
          <w:lang w:val="en-GB"/>
        </w:rPr>
        <w:t>–</w:t>
      </w:r>
      <w:r w:rsidR="005F227A" w:rsidRPr="004629DF">
        <w:rPr>
          <w:rFonts w:hAnsi="Arial" w:cs="Arial"/>
          <w:lang w:val="en-GB"/>
        </w:rPr>
        <w:t xml:space="preserve"> </w:t>
      </w:r>
      <w:r w:rsidRPr="004629DF">
        <w:rPr>
          <w:rFonts w:hAnsi="Arial" w:cs="Arial"/>
          <w:lang w:val="en-GB"/>
        </w:rPr>
        <w:t>The Ocean School Teacher Training Workshop in San José, Costa Rica</w:t>
      </w:r>
      <w:r w:rsidR="00DC702F" w:rsidRPr="004629DF">
        <w:rPr>
          <w:rFonts w:hAnsi="Arial" w:cs="Arial"/>
          <w:lang w:val="en-GB"/>
        </w:rPr>
        <w:t xml:space="preserve"> (2</w:t>
      </w:r>
      <w:r w:rsidR="005F227A">
        <w:rPr>
          <w:rFonts w:hAnsi="Arial" w:cs="Arial"/>
          <w:lang w:val="en-GB"/>
        </w:rPr>
        <w:t>–</w:t>
      </w:r>
      <w:r w:rsidR="00DC702F" w:rsidRPr="004629DF">
        <w:rPr>
          <w:rFonts w:hAnsi="Arial" w:cs="Arial"/>
          <w:lang w:val="en-GB"/>
        </w:rPr>
        <w:t>4 December 2018)</w:t>
      </w:r>
      <w:r w:rsidRPr="004629DF">
        <w:rPr>
          <w:rFonts w:hAnsi="Arial" w:cs="Arial"/>
          <w:lang w:val="en-GB"/>
        </w:rPr>
        <w:t xml:space="preserve"> was the first step to test the possibility of adapting the Ocean School programme and technology to different educational systems and geographical &amp; cultural contexts. The geographical area and subject matter chosen for the module presented during the training were the movement of species from Cocos </w:t>
      </w:r>
      <w:r w:rsidR="001D559D" w:rsidRPr="004629DF">
        <w:rPr>
          <w:rFonts w:hAnsi="Arial" w:cs="Arial"/>
          <w:lang w:val="en-GB"/>
        </w:rPr>
        <w:t>Island</w:t>
      </w:r>
      <w:r w:rsidRPr="004629DF">
        <w:rPr>
          <w:rFonts w:hAnsi="Arial" w:cs="Arial"/>
          <w:lang w:val="en-GB"/>
        </w:rPr>
        <w:t xml:space="preserve">. Accordingly, </w:t>
      </w:r>
      <w:r w:rsidR="001D559D" w:rsidRPr="004629DF">
        <w:rPr>
          <w:rFonts w:hAnsi="Arial" w:cs="Arial"/>
          <w:lang w:val="en-GB"/>
        </w:rPr>
        <w:t xml:space="preserve">twenty </w:t>
      </w:r>
      <w:r w:rsidRPr="004629DF">
        <w:rPr>
          <w:rFonts w:hAnsi="Arial" w:cs="Arial"/>
          <w:lang w:val="en-GB"/>
        </w:rPr>
        <w:t xml:space="preserve">teachers from a number of Latin America and the Caribbean countries were selected to participate: Chile, Colombia, Costa Rica, Ecuador, Jamaica, Panama, Peru, Saint Lucia, </w:t>
      </w:r>
      <w:r w:rsidR="001D559D" w:rsidRPr="004629DF">
        <w:rPr>
          <w:rFonts w:hAnsi="Arial" w:cs="Arial"/>
          <w:lang w:val="en-GB"/>
        </w:rPr>
        <w:t>and Trinidad</w:t>
      </w:r>
      <w:r w:rsidRPr="004629DF">
        <w:rPr>
          <w:rFonts w:hAnsi="Arial" w:cs="Arial"/>
          <w:lang w:val="en-GB"/>
        </w:rPr>
        <w:t xml:space="preserve"> and Tobago.</w:t>
      </w:r>
    </w:p>
    <w:p w14:paraId="299CC271" w14:textId="3D8FDE5C" w:rsidR="00E445D2" w:rsidRPr="004629DF" w:rsidRDefault="00E445D2" w:rsidP="00E1044D">
      <w:pPr>
        <w:pStyle w:val="ListParagraph"/>
        <w:numPr>
          <w:ilvl w:val="1"/>
          <w:numId w:val="35"/>
        </w:numPr>
        <w:ind w:left="709" w:hanging="709"/>
        <w:jc w:val="both"/>
        <w:rPr>
          <w:rFonts w:hAnsi="Arial" w:cs="Arial"/>
          <w:lang w:val="en-GB"/>
        </w:rPr>
      </w:pPr>
      <w:r w:rsidRPr="004629DF">
        <w:rPr>
          <w:rFonts w:hAnsi="Arial" w:cs="Arial"/>
          <w:b/>
          <w:lang w:val="en-GB"/>
        </w:rPr>
        <w:t>Ocean Literacy for multi-stakeholder processes in ocean governance workshop</w:t>
      </w:r>
      <w:r w:rsidRPr="004629DF">
        <w:rPr>
          <w:rFonts w:hAnsi="Arial" w:cs="Arial"/>
          <w:lang w:val="en-GB"/>
        </w:rPr>
        <w:t xml:space="preserve"> </w:t>
      </w:r>
      <w:r w:rsidR="005F227A">
        <w:rPr>
          <w:rFonts w:hAnsi="Arial" w:cs="Arial"/>
          <w:lang w:val="en-GB"/>
        </w:rPr>
        <w:t>–</w:t>
      </w:r>
      <w:r w:rsidRPr="004629DF">
        <w:rPr>
          <w:rFonts w:hAnsi="Arial" w:cs="Arial"/>
          <w:lang w:val="en-GB"/>
        </w:rPr>
        <w:t xml:space="preserve"> Fifteen professionals from around the world, including Ocean Literacy experts, journalists, researchers, foundations, M</w:t>
      </w:r>
      <w:r w:rsidR="005F227A">
        <w:rPr>
          <w:rFonts w:hAnsi="Arial" w:cs="Arial"/>
          <w:lang w:val="en-GB"/>
        </w:rPr>
        <w:t xml:space="preserve">arine </w:t>
      </w:r>
      <w:r w:rsidRPr="004629DF">
        <w:rPr>
          <w:rFonts w:hAnsi="Arial" w:cs="Arial"/>
          <w:lang w:val="en-GB"/>
        </w:rPr>
        <w:t>S</w:t>
      </w:r>
      <w:r w:rsidR="005F227A">
        <w:rPr>
          <w:rFonts w:hAnsi="Arial" w:cs="Arial"/>
          <w:lang w:val="en-GB"/>
        </w:rPr>
        <w:t xml:space="preserve">patial </w:t>
      </w:r>
      <w:r w:rsidRPr="004629DF">
        <w:rPr>
          <w:rFonts w:hAnsi="Arial" w:cs="Arial"/>
          <w:lang w:val="en-GB"/>
        </w:rPr>
        <w:t>P</w:t>
      </w:r>
      <w:r w:rsidR="005F227A">
        <w:rPr>
          <w:rFonts w:hAnsi="Arial" w:cs="Arial"/>
          <w:lang w:val="en-GB"/>
        </w:rPr>
        <w:t>lanning</w:t>
      </w:r>
      <w:r w:rsidRPr="004629DF">
        <w:rPr>
          <w:rFonts w:hAnsi="Arial" w:cs="Arial"/>
          <w:lang w:val="en-GB"/>
        </w:rPr>
        <w:t xml:space="preserve"> practitioners, educators, representatives of NGOs and public authorities gathered at the UNESCO Headquarters in Paris, to participate to the First Ocean Literacy for multi-stakeholder processes in Ocean Governance workshop in November 2018. The aim of the workshop was to discover the most effective ways to communicate ocean knowledge to different audiences, and to share best practices and innovative views on the challenges of transforming knowledge into action, using creative and interactive Ocean Literacy tools. </w:t>
      </w:r>
      <w:r w:rsidR="00D872D3" w:rsidRPr="004629DF">
        <w:rPr>
          <w:rFonts w:hAnsi="Arial" w:cs="Arial"/>
          <w:lang w:val="en-GB"/>
        </w:rPr>
        <w:t>The event represented a bridge between the “Ocean Literacy for All” and the MSP Global joint initiative between the IOC-UNESCO and the European Commission to promote cross-border and transboundary Marine/Maritime spatial planning”</w:t>
      </w:r>
      <w:r w:rsidR="005F227A">
        <w:rPr>
          <w:rFonts w:hAnsi="Arial" w:cs="Arial"/>
          <w:lang w:val="en-GB"/>
        </w:rPr>
        <w:t>.</w:t>
      </w:r>
    </w:p>
    <w:p w14:paraId="02899E56" w14:textId="535256AC" w:rsidR="00815172" w:rsidRPr="004629DF" w:rsidRDefault="00DE4430" w:rsidP="004629DF">
      <w:pPr>
        <w:pStyle w:val="ListParagraph"/>
        <w:numPr>
          <w:ilvl w:val="1"/>
          <w:numId w:val="35"/>
        </w:numPr>
        <w:ind w:left="709" w:hanging="709"/>
        <w:jc w:val="both"/>
        <w:rPr>
          <w:rFonts w:cs="Arial"/>
          <w:lang w:val="en-GB"/>
        </w:rPr>
      </w:pPr>
      <w:r w:rsidRPr="004629DF">
        <w:rPr>
          <w:rFonts w:cs="Arial"/>
          <w:b/>
          <w:lang w:val="en-GB"/>
        </w:rPr>
        <w:t>Collaboration with other UNESCO Sectors</w:t>
      </w:r>
      <w:r w:rsidRPr="004629DF">
        <w:rPr>
          <w:rFonts w:cs="Arial"/>
          <w:lang w:val="en-GB"/>
        </w:rPr>
        <w:t xml:space="preserve"> </w:t>
      </w:r>
      <w:r w:rsidRPr="004629DF">
        <w:rPr>
          <w:rFonts w:cs="Arial"/>
          <w:lang w:val="en-GB"/>
        </w:rPr>
        <w:t>–</w:t>
      </w:r>
      <w:r w:rsidRPr="004629DF">
        <w:rPr>
          <w:rFonts w:cs="Arial"/>
          <w:lang w:val="en-GB"/>
        </w:rPr>
        <w:t xml:space="preserve"> Since 2014 the IOC is part of the Global Action Plan on Education for Sustainable Development promoted</w:t>
      </w:r>
      <w:r w:rsidR="00FC0350" w:rsidRPr="004629DF">
        <w:rPr>
          <w:rFonts w:cs="Arial"/>
          <w:lang w:val="en-GB"/>
        </w:rPr>
        <w:t xml:space="preserve"> by the UNESCO Education Sector. F</w:t>
      </w:r>
      <w:r w:rsidRPr="004629DF">
        <w:rPr>
          <w:rFonts w:cs="Arial"/>
          <w:lang w:val="en-GB"/>
        </w:rPr>
        <w:t>urthermore</w:t>
      </w:r>
      <w:r w:rsidR="00FC0350" w:rsidRPr="004629DF">
        <w:rPr>
          <w:rFonts w:cs="Arial"/>
          <w:lang w:val="en-GB"/>
        </w:rPr>
        <w:t xml:space="preserve">, </w:t>
      </w:r>
      <w:r w:rsidR="001D559D" w:rsidRPr="004629DF">
        <w:rPr>
          <w:rFonts w:cs="Arial"/>
          <w:lang w:val="en-GB"/>
        </w:rPr>
        <w:t>the IOC</w:t>
      </w:r>
      <w:r w:rsidR="00FC0350" w:rsidRPr="004629DF">
        <w:rPr>
          <w:rFonts w:cs="Arial"/>
          <w:lang w:val="en-GB"/>
        </w:rPr>
        <w:t xml:space="preserve"> is</w:t>
      </w:r>
      <w:r w:rsidRPr="004629DF">
        <w:rPr>
          <w:rFonts w:cs="Arial"/>
          <w:lang w:val="en-GB"/>
        </w:rPr>
        <w:t xml:space="preserve"> part of the UNESCO Youth Strategy </w:t>
      </w:r>
      <w:r w:rsidR="001D559D" w:rsidRPr="004629DF">
        <w:rPr>
          <w:rFonts w:cs="Arial"/>
          <w:lang w:val="en-GB"/>
        </w:rPr>
        <w:t>coordinated</w:t>
      </w:r>
      <w:r w:rsidRPr="004629DF">
        <w:rPr>
          <w:rFonts w:cs="Arial"/>
          <w:lang w:val="en-GB"/>
        </w:rPr>
        <w:t xml:space="preserve"> by the S</w:t>
      </w:r>
      <w:r w:rsidR="001D559D" w:rsidRPr="004629DF">
        <w:rPr>
          <w:rFonts w:cs="Arial"/>
          <w:lang w:val="en-GB"/>
        </w:rPr>
        <w:t>ocial and Human Sciences Sector. Finally, the IOC</w:t>
      </w:r>
      <w:r w:rsidRPr="004629DF">
        <w:rPr>
          <w:rFonts w:cs="Arial"/>
          <w:lang w:val="en-GB"/>
        </w:rPr>
        <w:t xml:space="preserve"> collaborated with the Communication and Information Sector to develop innovative tools for ocean science education.  </w:t>
      </w:r>
    </w:p>
    <w:p w14:paraId="748BFFB6" w14:textId="77777777" w:rsidR="009D34E3" w:rsidRPr="004629DF" w:rsidRDefault="00D872D3" w:rsidP="00BB46E8">
      <w:pPr>
        <w:pStyle w:val="ListParagraph"/>
        <w:numPr>
          <w:ilvl w:val="0"/>
          <w:numId w:val="0"/>
        </w:numPr>
        <w:jc w:val="both"/>
        <w:rPr>
          <w:rFonts w:hAnsi="Arial" w:cs="Arial"/>
          <w:b/>
          <w:lang w:val="en-GB"/>
        </w:rPr>
      </w:pPr>
      <w:r w:rsidRPr="004629DF">
        <w:rPr>
          <w:rFonts w:hAnsi="Arial" w:cs="Arial"/>
          <w:b/>
          <w:lang w:val="en-GB"/>
        </w:rPr>
        <w:t>Ocea</w:t>
      </w:r>
      <w:r w:rsidR="006972D0" w:rsidRPr="004629DF">
        <w:rPr>
          <w:rFonts w:hAnsi="Arial" w:cs="Arial"/>
          <w:b/>
          <w:lang w:val="en-GB"/>
        </w:rPr>
        <w:t>n</w:t>
      </w:r>
      <w:r w:rsidRPr="004629DF">
        <w:rPr>
          <w:rFonts w:hAnsi="Arial" w:cs="Arial"/>
          <w:b/>
          <w:lang w:val="en-GB"/>
        </w:rPr>
        <w:t xml:space="preserve"> Literacy Action Plan </w:t>
      </w:r>
    </w:p>
    <w:p w14:paraId="39DDEB58" w14:textId="18D3E9DD" w:rsidR="00D872D3" w:rsidRPr="004629DF" w:rsidRDefault="00DC702F" w:rsidP="004629DF">
      <w:pPr>
        <w:pStyle w:val="ListParagraph"/>
        <w:numPr>
          <w:ilvl w:val="0"/>
          <w:numId w:val="25"/>
        </w:numPr>
        <w:tabs>
          <w:tab w:val="clear" w:pos="720"/>
          <w:tab w:val="left" w:pos="709"/>
        </w:tabs>
        <w:ind w:left="0" w:firstLine="0"/>
        <w:jc w:val="both"/>
        <w:rPr>
          <w:rFonts w:hAnsi="Arial" w:cs="Arial"/>
          <w:lang w:val="en-GB"/>
        </w:rPr>
      </w:pPr>
      <w:r w:rsidRPr="004629DF">
        <w:rPr>
          <w:rFonts w:hAnsi="Arial" w:cs="Arial"/>
          <w:lang w:val="en-GB"/>
        </w:rPr>
        <w:t>I</w:t>
      </w:r>
      <w:r w:rsidR="005D2BCD" w:rsidRPr="004629DF">
        <w:rPr>
          <w:rFonts w:hAnsi="Arial" w:cs="Arial"/>
          <w:lang w:val="en-GB"/>
        </w:rPr>
        <w:t xml:space="preserve">n consideration of the UN </w:t>
      </w:r>
      <w:r w:rsidR="00D872D3" w:rsidRPr="004629DF">
        <w:rPr>
          <w:rFonts w:hAnsi="Arial" w:cs="Arial"/>
          <w:lang w:val="en-GB"/>
        </w:rPr>
        <w:t>sustainable development agenda, of the IOC priorities, and of the scientific plan of the UN Decade of Ocean Science</w:t>
      </w:r>
      <w:r w:rsidR="005F227A">
        <w:rPr>
          <w:rFonts w:hAnsi="Arial" w:cs="Arial"/>
          <w:lang w:val="en-GB"/>
        </w:rPr>
        <w:t>,</w:t>
      </w:r>
      <w:r w:rsidR="00D872D3" w:rsidRPr="004629DF">
        <w:rPr>
          <w:rFonts w:hAnsi="Arial" w:cs="Arial"/>
          <w:lang w:val="en-GB"/>
        </w:rPr>
        <w:t xml:space="preserve"> the following </w:t>
      </w:r>
      <w:r w:rsidRPr="004629DF">
        <w:rPr>
          <w:rFonts w:hAnsi="Arial" w:cs="Arial"/>
          <w:lang w:val="en-GB"/>
        </w:rPr>
        <w:t xml:space="preserve">proposal for the </w:t>
      </w:r>
      <w:r w:rsidR="00D872D3" w:rsidRPr="004629DF">
        <w:rPr>
          <w:rFonts w:hAnsi="Arial" w:cs="Arial"/>
          <w:lang w:val="en-GB"/>
        </w:rPr>
        <w:t>Ocean Literacy Action Plan was developed</w:t>
      </w:r>
      <w:r w:rsidRPr="004629DF">
        <w:rPr>
          <w:rFonts w:hAnsi="Arial" w:cs="Arial"/>
          <w:lang w:val="en-GB"/>
        </w:rPr>
        <w:t xml:space="preserve"> on basis of discussions held during various workshops and conferences</w:t>
      </w:r>
      <w:r w:rsidR="00D872D3" w:rsidRPr="004629DF">
        <w:rPr>
          <w:rFonts w:hAnsi="Arial" w:cs="Arial"/>
          <w:lang w:val="en-GB"/>
        </w:rPr>
        <w:t xml:space="preserve">:  </w:t>
      </w:r>
    </w:p>
    <w:p w14:paraId="3EF4E011" w14:textId="77777777" w:rsidR="005F227A" w:rsidRDefault="005F227A">
      <w:pPr>
        <w:tabs>
          <w:tab w:val="clear" w:pos="567"/>
        </w:tabs>
        <w:snapToGrid/>
        <w:rPr>
          <w:rFonts w:cs="Arial"/>
          <w:b/>
          <w:szCs w:val="22"/>
        </w:rPr>
      </w:pPr>
      <w:r>
        <w:rPr>
          <w:rFonts w:cs="Arial"/>
          <w:b/>
          <w:szCs w:val="22"/>
        </w:rPr>
        <w:br w:type="page"/>
      </w:r>
    </w:p>
    <w:p w14:paraId="6D62CB78" w14:textId="14BF93E9" w:rsidR="00F83163" w:rsidRPr="004629DF" w:rsidRDefault="00F83163" w:rsidP="004629DF">
      <w:pPr>
        <w:spacing w:after="240"/>
        <w:jc w:val="center"/>
        <w:rPr>
          <w:rFonts w:cs="Arial"/>
          <w:szCs w:val="22"/>
        </w:rPr>
      </w:pPr>
      <w:r w:rsidRPr="004629DF">
        <w:rPr>
          <w:rFonts w:cs="Arial"/>
          <w:b/>
          <w:szCs w:val="22"/>
        </w:rPr>
        <w:t>Vision statement</w:t>
      </w:r>
    </w:p>
    <w:p w14:paraId="0224B601" w14:textId="77777777" w:rsidR="00F83163" w:rsidRPr="004629DF" w:rsidRDefault="00F83163" w:rsidP="00BB46E8">
      <w:pPr>
        <w:spacing w:after="240"/>
        <w:jc w:val="center"/>
        <w:rPr>
          <w:rFonts w:cs="Arial"/>
          <w:i/>
          <w:szCs w:val="22"/>
        </w:rPr>
      </w:pPr>
      <w:r w:rsidRPr="004629DF">
        <w:rPr>
          <w:rFonts w:cs="Arial"/>
          <w:i/>
          <w:szCs w:val="22"/>
        </w:rPr>
        <w:t xml:space="preserve">Through international collaboration, exchange of good practices and creation of partnerships, IOC assists its Member States to reinforce the work on ocean literacy, so that ocean knowledge is fully leveraged to advance ocean sustainability </w:t>
      </w:r>
    </w:p>
    <w:tbl>
      <w:tblPr>
        <w:tblStyle w:val="TableGrid"/>
        <w:tblW w:w="0" w:type="auto"/>
        <w:tblLook w:val="04A0" w:firstRow="1" w:lastRow="0" w:firstColumn="1" w:lastColumn="0" w:noHBand="0" w:noVBand="1"/>
      </w:tblPr>
      <w:tblGrid>
        <w:gridCol w:w="3209"/>
        <w:gridCol w:w="3209"/>
        <w:gridCol w:w="3210"/>
      </w:tblGrid>
      <w:tr w:rsidR="006972D0" w:rsidRPr="00490F1D" w14:paraId="40B3CDA8" w14:textId="77777777" w:rsidTr="004629DF">
        <w:tc>
          <w:tcPr>
            <w:tcW w:w="3209" w:type="dxa"/>
            <w:shd w:val="clear" w:color="auto" w:fill="D9D9D9" w:themeFill="background1" w:themeFillShade="D9"/>
          </w:tcPr>
          <w:p w14:paraId="6B3039EA" w14:textId="77777777" w:rsidR="006972D0" w:rsidRPr="004629DF" w:rsidRDefault="006972D0" w:rsidP="004629DF">
            <w:pPr>
              <w:spacing w:after="240"/>
              <w:jc w:val="center"/>
              <w:rPr>
                <w:rFonts w:cs="Arial"/>
                <w:b/>
                <w:szCs w:val="22"/>
              </w:rPr>
            </w:pPr>
            <w:r w:rsidRPr="004629DF">
              <w:rPr>
                <w:rFonts w:cs="Arial"/>
                <w:b/>
                <w:szCs w:val="22"/>
              </w:rPr>
              <w:t>Output</w:t>
            </w:r>
          </w:p>
        </w:tc>
        <w:tc>
          <w:tcPr>
            <w:tcW w:w="3209" w:type="dxa"/>
            <w:shd w:val="clear" w:color="auto" w:fill="D9D9D9" w:themeFill="background1" w:themeFillShade="D9"/>
          </w:tcPr>
          <w:p w14:paraId="342AB581" w14:textId="77777777" w:rsidR="006972D0" w:rsidRPr="004629DF" w:rsidRDefault="006972D0">
            <w:pPr>
              <w:spacing w:after="240"/>
              <w:jc w:val="center"/>
              <w:rPr>
                <w:rFonts w:cs="Arial"/>
                <w:b/>
                <w:szCs w:val="22"/>
              </w:rPr>
            </w:pPr>
            <w:r w:rsidRPr="004629DF">
              <w:rPr>
                <w:rFonts w:cs="Arial"/>
                <w:b/>
                <w:szCs w:val="22"/>
              </w:rPr>
              <w:t>Activity</w:t>
            </w:r>
          </w:p>
        </w:tc>
        <w:tc>
          <w:tcPr>
            <w:tcW w:w="3210" w:type="dxa"/>
            <w:shd w:val="clear" w:color="auto" w:fill="D9D9D9" w:themeFill="background1" w:themeFillShade="D9"/>
          </w:tcPr>
          <w:p w14:paraId="6581D420" w14:textId="77777777" w:rsidR="006972D0" w:rsidRPr="004629DF" w:rsidRDefault="006972D0" w:rsidP="004629DF">
            <w:pPr>
              <w:spacing w:after="240"/>
              <w:jc w:val="center"/>
              <w:rPr>
                <w:rFonts w:cs="Arial"/>
                <w:b/>
                <w:szCs w:val="22"/>
              </w:rPr>
            </w:pPr>
            <w:r w:rsidRPr="004629DF">
              <w:rPr>
                <w:rFonts w:cs="Arial"/>
                <w:b/>
                <w:szCs w:val="22"/>
              </w:rPr>
              <w:t>Action</w:t>
            </w:r>
          </w:p>
        </w:tc>
      </w:tr>
      <w:tr w:rsidR="006972D0" w:rsidRPr="00490F1D" w14:paraId="0E0E8F37" w14:textId="77777777" w:rsidTr="00663A46">
        <w:tc>
          <w:tcPr>
            <w:tcW w:w="3209" w:type="dxa"/>
            <w:vMerge w:val="restart"/>
          </w:tcPr>
          <w:p w14:paraId="4CE56D70" w14:textId="77777777" w:rsidR="006972D0" w:rsidRPr="004629DF" w:rsidRDefault="006972D0" w:rsidP="005F227A">
            <w:pPr>
              <w:numPr>
                <w:ilvl w:val="0"/>
                <w:numId w:val="21"/>
              </w:numPr>
              <w:tabs>
                <w:tab w:val="clear" w:pos="567"/>
              </w:tabs>
              <w:spacing w:after="240"/>
              <w:ind w:left="308" w:hanging="308"/>
              <w:rPr>
                <w:rFonts w:cs="Arial"/>
                <w:b/>
                <w:szCs w:val="22"/>
              </w:rPr>
            </w:pPr>
            <w:r w:rsidRPr="004629DF">
              <w:rPr>
                <w:rFonts w:cs="Arial"/>
                <w:b/>
                <w:szCs w:val="22"/>
              </w:rPr>
              <w:t>Ocean literacy integrated into the curriculum of formal education systems around the world</w:t>
            </w:r>
          </w:p>
        </w:tc>
        <w:tc>
          <w:tcPr>
            <w:tcW w:w="3209" w:type="dxa"/>
          </w:tcPr>
          <w:p w14:paraId="18A43F80" w14:textId="77777777" w:rsidR="006972D0" w:rsidRPr="004629DF" w:rsidRDefault="006972D0" w:rsidP="004629DF">
            <w:pPr>
              <w:numPr>
                <w:ilvl w:val="1"/>
                <w:numId w:val="22"/>
              </w:numPr>
              <w:spacing w:after="240"/>
              <w:ind w:left="567" w:hanging="567"/>
              <w:rPr>
                <w:rFonts w:cs="Arial"/>
                <w:szCs w:val="22"/>
              </w:rPr>
            </w:pPr>
            <w:r w:rsidRPr="004629DF">
              <w:rPr>
                <w:rFonts w:cs="Arial"/>
                <w:szCs w:val="22"/>
              </w:rPr>
              <w:t xml:space="preserve">Ocean literacy national strategy </w:t>
            </w:r>
          </w:p>
        </w:tc>
        <w:tc>
          <w:tcPr>
            <w:tcW w:w="3210" w:type="dxa"/>
          </w:tcPr>
          <w:p w14:paraId="7024D4DC" w14:textId="149A1635" w:rsidR="006972D0" w:rsidRPr="004629DF" w:rsidRDefault="006972D0" w:rsidP="004629DF">
            <w:pPr>
              <w:numPr>
                <w:ilvl w:val="2"/>
                <w:numId w:val="21"/>
              </w:numPr>
              <w:tabs>
                <w:tab w:val="clear" w:pos="567"/>
              </w:tabs>
              <w:spacing w:after="240"/>
              <w:ind w:left="0" w:hanging="12"/>
              <w:rPr>
                <w:rFonts w:cs="Arial"/>
                <w:szCs w:val="22"/>
              </w:rPr>
            </w:pPr>
            <w:r w:rsidRPr="004629DF">
              <w:rPr>
                <w:rFonts w:cs="Arial"/>
                <w:szCs w:val="22"/>
              </w:rPr>
              <w:t xml:space="preserve">Promote and assist with the establishment of national coordination groups involving </w:t>
            </w:r>
            <w:r w:rsidR="007728B5">
              <w:rPr>
                <w:rFonts w:cs="Arial"/>
                <w:szCs w:val="22"/>
              </w:rPr>
              <w:t>m</w:t>
            </w:r>
            <w:r w:rsidRPr="004629DF">
              <w:rPr>
                <w:rFonts w:cs="Arial"/>
                <w:szCs w:val="22"/>
              </w:rPr>
              <w:t>inistries for ocean affairs, environment and education</w:t>
            </w:r>
          </w:p>
          <w:p w14:paraId="5006E113" w14:textId="77777777" w:rsidR="006972D0" w:rsidRPr="004629DF" w:rsidRDefault="006972D0" w:rsidP="004629DF">
            <w:pPr>
              <w:numPr>
                <w:ilvl w:val="2"/>
                <w:numId w:val="21"/>
              </w:numPr>
              <w:tabs>
                <w:tab w:val="clear" w:pos="567"/>
              </w:tabs>
              <w:spacing w:after="240"/>
              <w:ind w:left="0" w:hanging="12"/>
              <w:rPr>
                <w:rFonts w:cs="Arial"/>
                <w:szCs w:val="22"/>
              </w:rPr>
            </w:pPr>
            <w:r w:rsidRPr="004629DF">
              <w:rPr>
                <w:rFonts w:cs="Arial"/>
                <w:szCs w:val="22"/>
              </w:rPr>
              <w:t xml:space="preserve">Promote exchange of good practices between countries that have already a national strategy and those that do not </w:t>
            </w:r>
          </w:p>
          <w:p w14:paraId="32F57822" w14:textId="77777777" w:rsidR="006972D0" w:rsidRPr="004629DF" w:rsidRDefault="006972D0" w:rsidP="004629DF">
            <w:pPr>
              <w:numPr>
                <w:ilvl w:val="2"/>
                <w:numId w:val="21"/>
              </w:numPr>
              <w:spacing w:after="240"/>
              <w:ind w:left="0" w:hanging="12"/>
              <w:rPr>
                <w:rFonts w:cs="Arial"/>
                <w:szCs w:val="22"/>
              </w:rPr>
            </w:pPr>
            <w:r w:rsidRPr="004629DF">
              <w:rPr>
                <w:rFonts w:cs="Arial"/>
                <w:szCs w:val="22"/>
              </w:rPr>
              <w:t>Promote coordination on a regional basis in collaboration with IOC Regional Sub-Commission</w:t>
            </w:r>
          </w:p>
        </w:tc>
      </w:tr>
      <w:tr w:rsidR="006972D0" w:rsidRPr="00490F1D" w14:paraId="5F5F6319" w14:textId="77777777" w:rsidTr="00663A46">
        <w:tc>
          <w:tcPr>
            <w:tcW w:w="3209" w:type="dxa"/>
            <w:vMerge/>
          </w:tcPr>
          <w:p w14:paraId="5F98E2CE" w14:textId="77777777" w:rsidR="006972D0" w:rsidRPr="004629DF" w:rsidRDefault="006972D0" w:rsidP="00BB46E8">
            <w:pPr>
              <w:spacing w:after="240"/>
              <w:rPr>
                <w:rFonts w:cs="Arial"/>
                <w:i/>
                <w:szCs w:val="22"/>
              </w:rPr>
            </w:pPr>
          </w:p>
        </w:tc>
        <w:tc>
          <w:tcPr>
            <w:tcW w:w="3209" w:type="dxa"/>
          </w:tcPr>
          <w:p w14:paraId="0741F106" w14:textId="77777777" w:rsidR="006972D0" w:rsidRPr="004629DF" w:rsidRDefault="006972D0" w:rsidP="00BB46E8">
            <w:pPr>
              <w:numPr>
                <w:ilvl w:val="1"/>
                <w:numId w:val="22"/>
              </w:numPr>
              <w:spacing w:after="240"/>
              <w:rPr>
                <w:rFonts w:cs="Arial"/>
                <w:szCs w:val="22"/>
              </w:rPr>
            </w:pPr>
            <w:r w:rsidRPr="004629DF">
              <w:rPr>
                <w:rFonts w:cs="Arial"/>
                <w:szCs w:val="22"/>
              </w:rPr>
              <w:t>Teacher training</w:t>
            </w:r>
          </w:p>
        </w:tc>
        <w:tc>
          <w:tcPr>
            <w:tcW w:w="3210" w:type="dxa"/>
          </w:tcPr>
          <w:p w14:paraId="07C83425" w14:textId="77777777" w:rsidR="006972D0" w:rsidRPr="004629DF" w:rsidRDefault="006972D0" w:rsidP="004629DF">
            <w:pPr>
              <w:numPr>
                <w:ilvl w:val="2"/>
                <w:numId w:val="23"/>
              </w:numPr>
              <w:spacing w:after="240"/>
              <w:ind w:left="0" w:hanging="12"/>
              <w:rPr>
                <w:rFonts w:cs="Arial"/>
                <w:szCs w:val="22"/>
              </w:rPr>
            </w:pPr>
            <w:r w:rsidRPr="004629DF">
              <w:rPr>
                <w:rFonts w:cs="Arial"/>
                <w:szCs w:val="22"/>
              </w:rPr>
              <w:t>Production of courses for teachers on ocean literacy</w:t>
            </w:r>
          </w:p>
          <w:p w14:paraId="2685356D" w14:textId="77777777" w:rsidR="006972D0" w:rsidRPr="004629DF" w:rsidRDefault="006972D0" w:rsidP="004629DF">
            <w:pPr>
              <w:numPr>
                <w:ilvl w:val="2"/>
                <w:numId w:val="23"/>
              </w:numPr>
              <w:spacing w:after="240"/>
              <w:ind w:left="0" w:hanging="12"/>
              <w:rPr>
                <w:rFonts w:cs="Arial"/>
                <w:szCs w:val="22"/>
              </w:rPr>
            </w:pPr>
            <w:r w:rsidRPr="004629DF">
              <w:rPr>
                <w:rFonts w:cs="Arial"/>
                <w:szCs w:val="22"/>
              </w:rPr>
              <w:t>Production of online training on ocean literacy (link with OTGA)</w:t>
            </w:r>
          </w:p>
        </w:tc>
      </w:tr>
      <w:tr w:rsidR="006972D0" w:rsidRPr="00490F1D" w14:paraId="444EC759" w14:textId="77777777" w:rsidTr="00663A46">
        <w:tc>
          <w:tcPr>
            <w:tcW w:w="3209" w:type="dxa"/>
            <w:vMerge/>
          </w:tcPr>
          <w:p w14:paraId="6969A161" w14:textId="77777777" w:rsidR="006972D0" w:rsidRPr="004629DF" w:rsidRDefault="006972D0" w:rsidP="00BB46E8">
            <w:pPr>
              <w:spacing w:after="240"/>
              <w:rPr>
                <w:rFonts w:cs="Arial"/>
                <w:i/>
                <w:szCs w:val="22"/>
              </w:rPr>
            </w:pPr>
          </w:p>
        </w:tc>
        <w:tc>
          <w:tcPr>
            <w:tcW w:w="3209" w:type="dxa"/>
          </w:tcPr>
          <w:p w14:paraId="1460E447" w14:textId="7652AA72" w:rsidR="006972D0" w:rsidRPr="004629DF" w:rsidRDefault="006972D0" w:rsidP="004629DF">
            <w:pPr>
              <w:spacing w:after="240"/>
              <w:ind w:left="567" w:hanging="567"/>
              <w:rPr>
                <w:rFonts w:cs="Arial"/>
                <w:szCs w:val="22"/>
              </w:rPr>
            </w:pPr>
            <w:r w:rsidRPr="004629DF">
              <w:rPr>
                <w:rFonts w:cs="Arial"/>
                <w:szCs w:val="22"/>
              </w:rPr>
              <w:t>1.3</w:t>
            </w:r>
            <w:r w:rsidR="007728B5">
              <w:rPr>
                <w:rFonts w:cs="Arial"/>
                <w:szCs w:val="22"/>
              </w:rPr>
              <w:tab/>
            </w:r>
            <w:r w:rsidRPr="004629DF">
              <w:rPr>
                <w:rFonts w:cs="Arial"/>
                <w:szCs w:val="22"/>
              </w:rPr>
              <w:t>Collaboration with UNESCO ASPNet</w:t>
            </w:r>
          </w:p>
        </w:tc>
        <w:tc>
          <w:tcPr>
            <w:tcW w:w="3210" w:type="dxa"/>
          </w:tcPr>
          <w:p w14:paraId="642229B1" w14:textId="77777777" w:rsidR="006972D0" w:rsidRPr="004629DF" w:rsidRDefault="006972D0" w:rsidP="004629DF">
            <w:pPr>
              <w:numPr>
                <w:ilvl w:val="2"/>
                <w:numId w:val="24"/>
              </w:numPr>
              <w:spacing w:after="240"/>
              <w:ind w:left="0" w:hanging="12"/>
              <w:rPr>
                <w:rFonts w:cs="Arial"/>
                <w:szCs w:val="22"/>
              </w:rPr>
            </w:pPr>
            <w:r w:rsidRPr="004629DF">
              <w:rPr>
                <w:rFonts w:cs="Arial"/>
                <w:szCs w:val="22"/>
              </w:rPr>
              <w:t>Development of pilot activities with schools belonging to ASPNet</w:t>
            </w:r>
          </w:p>
          <w:p w14:paraId="0DA66A75" w14:textId="77777777" w:rsidR="006972D0" w:rsidRPr="004629DF" w:rsidRDefault="006972D0" w:rsidP="004629DF">
            <w:pPr>
              <w:numPr>
                <w:ilvl w:val="2"/>
                <w:numId w:val="24"/>
              </w:numPr>
              <w:spacing w:after="240"/>
              <w:ind w:left="0" w:hanging="12"/>
              <w:rPr>
                <w:rFonts w:cs="Arial"/>
                <w:szCs w:val="22"/>
              </w:rPr>
            </w:pPr>
            <w:r w:rsidRPr="004629DF">
              <w:rPr>
                <w:rFonts w:cs="Arial"/>
                <w:szCs w:val="22"/>
              </w:rPr>
              <w:t xml:space="preserve">Development of continuous collaboration with ASPNet National Coordinators on long-term activities </w:t>
            </w:r>
          </w:p>
        </w:tc>
      </w:tr>
      <w:tr w:rsidR="006972D0" w:rsidRPr="00490F1D" w14:paraId="234ED5AF" w14:textId="77777777" w:rsidTr="00663A46">
        <w:tc>
          <w:tcPr>
            <w:tcW w:w="3209" w:type="dxa"/>
            <w:vMerge w:val="restart"/>
          </w:tcPr>
          <w:p w14:paraId="1D4267B1" w14:textId="77777777" w:rsidR="006972D0" w:rsidRPr="004629DF" w:rsidRDefault="006972D0" w:rsidP="00BB46E8">
            <w:pPr>
              <w:numPr>
                <w:ilvl w:val="0"/>
                <w:numId w:val="24"/>
              </w:numPr>
              <w:spacing w:after="240"/>
              <w:rPr>
                <w:rFonts w:cs="Arial"/>
                <w:b/>
                <w:szCs w:val="22"/>
              </w:rPr>
            </w:pPr>
            <w:r w:rsidRPr="004629DF">
              <w:rPr>
                <w:rFonts w:cs="Arial"/>
                <w:b/>
                <w:szCs w:val="22"/>
              </w:rPr>
              <w:t>Dialogue enhanced and collaboration increased through the inclusion of diverse stakeholders in ocean literacy discussions</w:t>
            </w:r>
          </w:p>
        </w:tc>
        <w:tc>
          <w:tcPr>
            <w:tcW w:w="3209" w:type="dxa"/>
          </w:tcPr>
          <w:p w14:paraId="1790BA49" w14:textId="5C61C449" w:rsidR="006972D0" w:rsidRPr="004629DF" w:rsidRDefault="006972D0" w:rsidP="004629DF">
            <w:pPr>
              <w:spacing w:after="240"/>
              <w:ind w:left="567" w:hanging="567"/>
              <w:rPr>
                <w:rFonts w:cs="Arial"/>
                <w:szCs w:val="22"/>
              </w:rPr>
            </w:pPr>
            <w:r w:rsidRPr="004629DF">
              <w:rPr>
                <w:rFonts w:cs="Arial"/>
                <w:szCs w:val="22"/>
              </w:rPr>
              <w:t>2.1</w:t>
            </w:r>
            <w:r w:rsidR="007728B5">
              <w:rPr>
                <w:rFonts w:cs="Arial"/>
                <w:szCs w:val="22"/>
              </w:rPr>
              <w:tab/>
            </w:r>
            <w:r w:rsidRPr="004629DF">
              <w:rPr>
                <w:rFonts w:cs="Arial"/>
                <w:szCs w:val="22"/>
              </w:rPr>
              <w:t>Promotion of multi-stakeholder partnerships</w:t>
            </w:r>
          </w:p>
        </w:tc>
        <w:tc>
          <w:tcPr>
            <w:tcW w:w="3210" w:type="dxa"/>
          </w:tcPr>
          <w:p w14:paraId="264732DA" w14:textId="77777777" w:rsidR="006972D0" w:rsidRPr="004629DF" w:rsidRDefault="006972D0" w:rsidP="00BB46E8">
            <w:pPr>
              <w:spacing w:after="240"/>
              <w:rPr>
                <w:rFonts w:cs="Arial"/>
                <w:szCs w:val="22"/>
              </w:rPr>
            </w:pPr>
            <w:r w:rsidRPr="004629DF">
              <w:rPr>
                <w:rFonts w:cs="Arial"/>
                <w:szCs w:val="22"/>
              </w:rPr>
              <w:t>2.1.1 Development of a database of organizations active in the field of ocean protection, ocean management, ocean science…</w:t>
            </w:r>
          </w:p>
          <w:p w14:paraId="14768EBE" w14:textId="3C299FEC" w:rsidR="006972D0" w:rsidRPr="004629DF" w:rsidRDefault="006972D0" w:rsidP="00BB46E8">
            <w:pPr>
              <w:spacing w:after="240"/>
              <w:rPr>
                <w:rFonts w:cs="Arial"/>
                <w:szCs w:val="22"/>
              </w:rPr>
            </w:pPr>
            <w:r w:rsidRPr="004629DF">
              <w:rPr>
                <w:rFonts w:cs="Arial"/>
                <w:szCs w:val="22"/>
              </w:rPr>
              <w:t>2.2.2 Establishing links and collaboration with existing networks, associations and organizations</w:t>
            </w:r>
            <w:r w:rsidR="007728B5">
              <w:rPr>
                <w:rFonts w:cs="Arial"/>
                <w:szCs w:val="22"/>
              </w:rPr>
              <w:t>,</w:t>
            </w:r>
            <w:r w:rsidRPr="004629DF">
              <w:rPr>
                <w:rFonts w:cs="Arial"/>
                <w:szCs w:val="22"/>
              </w:rPr>
              <w:t xml:space="preserve"> e.g. Communities of Ocean Action, UN-Oceans</w:t>
            </w:r>
          </w:p>
        </w:tc>
      </w:tr>
      <w:tr w:rsidR="006972D0" w:rsidRPr="00490F1D" w14:paraId="3DCC2E49" w14:textId="77777777" w:rsidTr="00663A46">
        <w:tc>
          <w:tcPr>
            <w:tcW w:w="3209" w:type="dxa"/>
            <w:vMerge/>
          </w:tcPr>
          <w:p w14:paraId="22685911" w14:textId="77777777" w:rsidR="006972D0" w:rsidRPr="004629DF" w:rsidRDefault="006972D0" w:rsidP="00BB46E8">
            <w:pPr>
              <w:spacing w:after="240"/>
              <w:rPr>
                <w:rFonts w:cs="Arial"/>
                <w:szCs w:val="22"/>
              </w:rPr>
            </w:pPr>
          </w:p>
        </w:tc>
        <w:tc>
          <w:tcPr>
            <w:tcW w:w="3209" w:type="dxa"/>
          </w:tcPr>
          <w:p w14:paraId="182DA763" w14:textId="2DB3FB83" w:rsidR="006972D0" w:rsidRPr="004629DF" w:rsidRDefault="006972D0" w:rsidP="004629DF">
            <w:pPr>
              <w:spacing w:after="240"/>
              <w:ind w:left="567" w:hanging="567"/>
              <w:rPr>
                <w:rFonts w:cs="Arial"/>
                <w:szCs w:val="22"/>
              </w:rPr>
            </w:pPr>
            <w:r w:rsidRPr="004629DF">
              <w:rPr>
                <w:rFonts w:cs="Arial"/>
                <w:szCs w:val="22"/>
              </w:rPr>
              <w:t>2.</w:t>
            </w:r>
            <w:r w:rsidR="007728B5" w:rsidRPr="004629DF">
              <w:rPr>
                <w:rFonts w:cs="Arial"/>
                <w:szCs w:val="22"/>
              </w:rPr>
              <w:t>2</w:t>
            </w:r>
            <w:r w:rsidR="007728B5">
              <w:rPr>
                <w:rFonts w:cs="Arial"/>
                <w:szCs w:val="22"/>
              </w:rPr>
              <w:tab/>
            </w:r>
            <w:r w:rsidRPr="004629DF">
              <w:rPr>
                <w:rFonts w:cs="Arial"/>
                <w:szCs w:val="22"/>
              </w:rPr>
              <w:t xml:space="preserve">Increase access to ocean knowledge </w:t>
            </w:r>
          </w:p>
        </w:tc>
        <w:tc>
          <w:tcPr>
            <w:tcW w:w="3210" w:type="dxa"/>
          </w:tcPr>
          <w:p w14:paraId="2A7B3C03" w14:textId="6CC4A601" w:rsidR="006972D0" w:rsidRPr="004629DF" w:rsidRDefault="006972D0" w:rsidP="00BB46E8">
            <w:pPr>
              <w:spacing w:after="240"/>
              <w:rPr>
                <w:rFonts w:cs="Arial"/>
                <w:szCs w:val="22"/>
              </w:rPr>
            </w:pPr>
            <w:r w:rsidRPr="004629DF">
              <w:rPr>
                <w:rFonts w:cs="Arial"/>
                <w:szCs w:val="22"/>
              </w:rPr>
              <w:t xml:space="preserve">2.2.1 Connecting different online sources of ocean knowledge, in particular IOC ODISCat, and CHM/TMT, to help the users navigate through different platforms and knowledge hubs </w:t>
            </w:r>
          </w:p>
          <w:p w14:paraId="7D5EED8D" w14:textId="4F217743" w:rsidR="006972D0" w:rsidRPr="004629DF" w:rsidRDefault="006972D0" w:rsidP="00BB46E8">
            <w:pPr>
              <w:spacing w:after="240"/>
              <w:rPr>
                <w:rFonts w:cs="Arial"/>
                <w:szCs w:val="22"/>
              </w:rPr>
            </w:pPr>
            <w:r w:rsidRPr="004629DF">
              <w:rPr>
                <w:rFonts w:cs="Arial"/>
                <w:szCs w:val="22"/>
              </w:rPr>
              <w:t xml:space="preserve">2.2.2. Coordinate with all IOC sections, programmes and units, and in close collaboration with the IOC Communications Officer, the development of ocean literacy products, such as policy briefs, factsheets, videos </w:t>
            </w:r>
          </w:p>
        </w:tc>
      </w:tr>
      <w:tr w:rsidR="006972D0" w:rsidRPr="00490F1D" w14:paraId="4D35E31C" w14:textId="77777777" w:rsidTr="00663A46">
        <w:tc>
          <w:tcPr>
            <w:tcW w:w="3209" w:type="dxa"/>
            <w:vMerge/>
          </w:tcPr>
          <w:p w14:paraId="5D188E4B" w14:textId="77777777" w:rsidR="006972D0" w:rsidRPr="004629DF" w:rsidRDefault="006972D0" w:rsidP="00BB46E8">
            <w:pPr>
              <w:spacing w:after="240"/>
              <w:rPr>
                <w:rFonts w:cs="Arial"/>
                <w:szCs w:val="22"/>
              </w:rPr>
            </w:pPr>
          </w:p>
        </w:tc>
        <w:tc>
          <w:tcPr>
            <w:tcW w:w="3209" w:type="dxa"/>
          </w:tcPr>
          <w:p w14:paraId="1217C30B" w14:textId="51E92BC4" w:rsidR="006972D0" w:rsidRPr="004629DF" w:rsidRDefault="006972D0" w:rsidP="004629DF">
            <w:pPr>
              <w:spacing w:after="240"/>
              <w:ind w:left="567" w:hanging="567"/>
              <w:rPr>
                <w:rFonts w:cs="Arial"/>
                <w:szCs w:val="22"/>
              </w:rPr>
            </w:pPr>
            <w:r w:rsidRPr="004629DF">
              <w:rPr>
                <w:rFonts w:cs="Arial"/>
                <w:szCs w:val="22"/>
              </w:rPr>
              <w:t>2.3</w:t>
            </w:r>
            <w:r w:rsidR="007728B5">
              <w:rPr>
                <w:rFonts w:cs="Arial"/>
                <w:szCs w:val="22"/>
              </w:rPr>
              <w:tab/>
            </w:r>
            <w:r w:rsidRPr="004629DF">
              <w:rPr>
                <w:rFonts w:cs="Arial"/>
                <w:szCs w:val="22"/>
              </w:rPr>
              <w:t xml:space="preserve">Organization of thematic and specific events </w:t>
            </w:r>
          </w:p>
        </w:tc>
        <w:tc>
          <w:tcPr>
            <w:tcW w:w="3210" w:type="dxa"/>
          </w:tcPr>
          <w:p w14:paraId="34A230C6" w14:textId="77777777" w:rsidR="006972D0" w:rsidRPr="004629DF" w:rsidRDefault="006972D0" w:rsidP="00BB46E8">
            <w:pPr>
              <w:spacing w:after="240"/>
              <w:rPr>
                <w:rFonts w:cs="Arial"/>
                <w:szCs w:val="22"/>
              </w:rPr>
            </w:pPr>
            <w:r w:rsidRPr="004629DF">
              <w:rPr>
                <w:rFonts w:cs="Arial"/>
                <w:szCs w:val="22"/>
              </w:rPr>
              <w:t xml:space="preserve">2.3 Promote synergies on events related to ocean (e.g. European Maritime Day, World Oceans Day, World Ocean Summit, UN Ocean Conference) to organize events on ocean literacy for diverse stakeholders </w:t>
            </w:r>
          </w:p>
        </w:tc>
      </w:tr>
      <w:tr w:rsidR="006972D0" w:rsidRPr="00490F1D" w14:paraId="7FF2BCA5" w14:textId="77777777" w:rsidTr="00663A46">
        <w:tc>
          <w:tcPr>
            <w:tcW w:w="3209" w:type="dxa"/>
            <w:vMerge w:val="restart"/>
          </w:tcPr>
          <w:p w14:paraId="27569871" w14:textId="7940E3A7" w:rsidR="006972D0" w:rsidRPr="004629DF" w:rsidRDefault="006972D0" w:rsidP="00BB46E8">
            <w:pPr>
              <w:numPr>
                <w:ilvl w:val="0"/>
                <w:numId w:val="24"/>
              </w:numPr>
              <w:spacing w:after="240"/>
              <w:rPr>
                <w:rFonts w:cs="Arial"/>
                <w:b/>
                <w:szCs w:val="22"/>
              </w:rPr>
            </w:pPr>
            <w:r w:rsidRPr="004629DF">
              <w:rPr>
                <w:rFonts w:cs="Arial"/>
                <w:b/>
                <w:szCs w:val="22"/>
              </w:rPr>
              <w:t xml:space="preserve">IOC products and ocean literacy resources accessibility increased </w:t>
            </w:r>
          </w:p>
        </w:tc>
        <w:tc>
          <w:tcPr>
            <w:tcW w:w="3209" w:type="dxa"/>
          </w:tcPr>
          <w:p w14:paraId="4022F6C6" w14:textId="496A7B9F" w:rsidR="006972D0" w:rsidRPr="004629DF" w:rsidRDefault="006972D0" w:rsidP="004629DF">
            <w:pPr>
              <w:spacing w:after="240"/>
              <w:ind w:left="567" w:hanging="567"/>
              <w:rPr>
                <w:rFonts w:cs="Arial"/>
                <w:szCs w:val="22"/>
              </w:rPr>
            </w:pPr>
            <w:r w:rsidRPr="004629DF">
              <w:rPr>
                <w:rFonts w:cs="Arial"/>
                <w:szCs w:val="22"/>
              </w:rPr>
              <w:t>3.1</w:t>
            </w:r>
            <w:r w:rsidR="007728B5">
              <w:rPr>
                <w:rFonts w:cs="Arial"/>
                <w:szCs w:val="22"/>
              </w:rPr>
              <w:tab/>
            </w:r>
            <w:r w:rsidRPr="004629DF">
              <w:rPr>
                <w:rFonts w:cs="Arial"/>
                <w:szCs w:val="22"/>
              </w:rPr>
              <w:t>Facilitate access to ocean science and ocean literacy resources</w:t>
            </w:r>
          </w:p>
        </w:tc>
        <w:tc>
          <w:tcPr>
            <w:tcW w:w="3210" w:type="dxa"/>
          </w:tcPr>
          <w:p w14:paraId="1861EDF6" w14:textId="151569A4" w:rsidR="006972D0" w:rsidRPr="004629DF" w:rsidRDefault="006972D0" w:rsidP="00BB46E8">
            <w:pPr>
              <w:spacing w:after="240"/>
              <w:rPr>
                <w:rFonts w:cs="Arial"/>
                <w:szCs w:val="22"/>
              </w:rPr>
            </w:pPr>
            <w:r w:rsidRPr="004629DF">
              <w:rPr>
                <w:rFonts w:cs="Arial"/>
                <w:szCs w:val="22"/>
              </w:rPr>
              <w:t>3.1.1 Further develop the functionalities and interactivity of the IOC Ocean Literacy Platform, including accessibility options</w:t>
            </w:r>
          </w:p>
        </w:tc>
      </w:tr>
      <w:tr w:rsidR="006972D0" w:rsidRPr="00490F1D" w14:paraId="5E778F29" w14:textId="77777777" w:rsidTr="00663A46">
        <w:tc>
          <w:tcPr>
            <w:tcW w:w="3209" w:type="dxa"/>
            <w:vMerge/>
          </w:tcPr>
          <w:p w14:paraId="1E3C14AF" w14:textId="77777777" w:rsidR="006972D0" w:rsidRPr="004629DF" w:rsidRDefault="006972D0" w:rsidP="00BB46E8">
            <w:pPr>
              <w:spacing w:after="240"/>
              <w:rPr>
                <w:rFonts w:cs="Arial"/>
                <w:szCs w:val="22"/>
              </w:rPr>
            </w:pPr>
          </w:p>
        </w:tc>
        <w:tc>
          <w:tcPr>
            <w:tcW w:w="3209" w:type="dxa"/>
          </w:tcPr>
          <w:p w14:paraId="01F2321A" w14:textId="71827B1D" w:rsidR="006972D0" w:rsidRPr="004629DF" w:rsidRDefault="006972D0" w:rsidP="004629DF">
            <w:pPr>
              <w:spacing w:after="240"/>
              <w:ind w:left="567" w:hanging="567"/>
              <w:rPr>
                <w:rFonts w:cs="Arial"/>
                <w:szCs w:val="22"/>
              </w:rPr>
            </w:pPr>
            <w:r w:rsidRPr="004629DF">
              <w:rPr>
                <w:rFonts w:cs="Arial"/>
                <w:szCs w:val="22"/>
              </w:rPr>
              <w:t>3.3</w:t>
            </w:r>
            <w:r w:rsidR="007728B5">
              <w:rPr>
                <w:rFonts w:cs="Arial"/>
                <w:szCs w:val="22"/>
              </w:rPr>
              <w:tab/>
            </w:r>
            <w:r w:rsidRPr="004629DF">
              <w:rPr>
                <w:rFonts w:cs="Arial"/>
                <w:szCs w:val="22"/>
              </w:rPr>
              <w:t xml:space="preserve">Improve multi-lingual and multi-perspective ocean literacy resources availability </w:t>
            </w:r>
          </w:p>
        </w:tc>
        <w:tc>
          <w:tcPr>
            <w:tcW w:w="3210" w:type="dxa"/>
          </w:tcPr>
          <w:p w14:paraId="4378CF96" w14:textId="77777777" w:rsidR="006972D0" w:rsidRPr="004629DF" w:rsidRDefault="006972D0" w:rsidP="00BB46E8">
            <w:pPr>
              <w:spacing w:after="240"/>
              <w:rPr>
                <w:rFonts w:cs="Arial"/>
                <w:szCs w:val="22"/>
              </w:rPr>
            </w:pPr>
            <w:r w:rsidRPr="004629DF">
              <w:rPr>
                <w:rFonts w:cs="Arial"/>
                <w:szCs w:val="22"/>
              </w:rPr>
              <w:t>3.3.1 Identify resources for translation of essential ocean literacy resources</w:t>
            </w:r>
          </w:p>
          <w:p w14:paraId="0CC0738E" w14:textId="77777777" w:rsidR="006972D0" w:rsidRPr="004629DF" w:rsidRDefault="006972D0" w:rsidP="00BB46E8">
            <w:pPr>
              <w:spacing w:after="240"/>
              <w:rPr>
                <w:rFonts w:cs="Arial"/>
                <w:szCs w:val="22"/>
              </w:rPr>
            </w:pPr>
            <w:r w:rsidRPr="004629DF">
              <w:rPr>
                <w:rFonts w:cs="Arial"/>
                <w:szCs w:val="22"/>
              </w:rPr>
              <w:t>3.3.2 Development of database of ocean literacy resources in at least the four IOC working languages (EN, FR, SP, RU)</w:t>
            </w:r>
          </w:p>
          <w:p w14:paraId="4E1DD2B2" w14:textId="77777777" w:rsidR="006972D0" w:rsidRPr="004629DF" w:rsidRDefault="006972D0" w:rsidP="00BB46E8">
            <w:pPr>
              <w:spacing w:after="240"/>
              <w:rPr>
                <w:rFonts w:cs="Arial"/>
                <w:szCs w:val="22"/>
              </w:rPr>
            </w:pPr>
            <w:r w:rsidRPr="004629DF">
              <w:rPr>
                <w:rFonts w:cs="Arial"/>
                <w:szCs w:val="22"/>
              </w:rPr>
              <w:t>3.3.3 Production of ocean literacy resources that take into account different cultural approaches, and different target groups, including disadvantaged or under-represented groups</w:t>
            </w:r>
          </w:p>
          <w:p w14:paraId="6928D4C6" w14:textId="410EBEFC" w:rsidR="006972D0" w:rsidRPr="004629DF" w:rsidRDefault="006972D0" w:rsidP="00BB46E8">
            <w:pPr>
              <w:spacing w:after="240"/>
              <w:rPr>
                <w:rFonts w:cs="Arial"/>
                <w:szCs w:val="22"/>
              </w:rPr>
            </w:pPr>
            <w:r w:rsidRPr="004629DF">
              <w:rPr>
                <w:rFonts w:cs="Arial"/>
                <w:szCs w:val="22"/>
              </w:rPr>
              <w:t>3.3.4 Increase the collaboration with other UNESCO Sectors and Program</w:t>
            </w:r>
            <w:r w:rsidR="007728B5">
              <w:rPr>
                <w:rFonts w:cs="Arial"/>
                <w:szCs w:val="22"/>
              </w:rPr>
              <w:t>me</w:t>
            </w:r>
            <w:r w:rsidRPr="004629DF">
              <w:rPr>
                <w:rFonts w:cs="Arial"/>
                <w:szCs w:val="22"/>
              </w:rPr>
              <w:t xml:space="preserve">s, e.g. LINKS, Underwater Cultural Heritage, Education for Sustainable Development </w:t>
            </w:r>
          </w:p>
        </w:tc>
      </w:tr>
      <w:tr w:rsidR="006972D0" w:rsidRPr="00490F1D" w14:paraId="329E979B" w14:textId="77777777" w:rsidTr="00663A46">
        <w:tc>
          <w:tcPr>
            <w:tcW w:w="3209" w:type="dxa"/>
            <w:vMerge w:val="restart"/>
          </w:tcPr>
          <w:p w14:paraId="2BBC12EE" w14:textId="77777777" w:rsidR="006972D0" w:rsidRPr="004629DF" w:rsidRDefault="006972D0" w:rsidP="00BB46E8">
            <w:pPr>
              <w:numPr>
                <w:ilvl w:val="0"/>
                <w:numId w:val="24"/>
              </w:numPr>
              <w:spacing w:after="240"/>
              <w:rPr>
                <w:rFonts w:cs="Arial"/>
                <w:b/>
                <w:szCs w:val="22"/>
              </w:rPr>
            </w:pPr>
            <w:r w:rsidRPr="004629DF">
              <w:rPr>
                <w:rFonts w:cs="Arial"/>
                <w:b/>
                <w:szCs w:val="22"/>
              </w:rPr>
              <w:t xml:space="preserve">Capacity of stakeholders (e.g. governments, private sector, journalists, communities) to engage in ocean literacy discussions and activities strengthened </w:t>
            </w:r>
          </w:p>
        </w:tc>
        <w:tc>
          <w:tcPr>
            <w:tcW w:w="3209" w:type="dxa"/>
          </w:tcPr>
          <w:p w14:paraId="692EF1AD" w14:textId="35B9ECC4" w:rsidR="006972D0" w:rsidRPr="004629DF" w:rsidRDefault="006972D0" w:rsidP="004629DF">
            <w:pPr>
              <w:spacing w:after="240"/>
              <w:ind w:left="567" w:hanging="567"/>
              <w:rPr>
                <w:rFonts w:cs="Arial"/>
                <w:szCs w:val="22"/>
              </w:rPr>
            </w:pPr>
            <w:r w:rsidRPr="004629DF">
              <w:rPr>
                <w:rFonts w:cs="Arial"/>
                <w:szCs w:val="22"/>
              </w:rPr>
              <w:t>4.1</w:t>
            </w:r>
            <w:r w:rsidR="007728B5">
              <w:rPr>
                <w:rFonts w:cs="Arial"/>
                <w:szCs w:val="22"/>
              </w:rPr>
              <w:tab/>
            </w:r>
            <w:r w:rsidRPr="004629DF">
              <w:rPr>
                <w:rFonts w:cs="Arial"/>
                <w:szCs w:val="22"/>
              </w:rPr>
              <w:t xml:space="preserve">Development of ocean literacy trainings for diverse audiences </w:t>
            </w:r>
          </w:p>
        </w:tc>
        <w:tc>
          <w:tcPr>
            <w:tcW w:w="3210" w:type="dxa"/>
          </w:tcPr>
          <w:p w14:paraId="48FA630C" w14:textId="77777777" w:rsidR="006972D0" w:rsidRPr="004629DF" w:rsidRDefault="006972D0" w:rsidP="00BB46E8">
            <w:pPr>
              <w:spacing w:after="240"/>
              <w:rPr>
                <w:rFonts w:cs="Arial"/>
                <w:szCs w:val="22"/>
              </w:rPr>
            </w:pPr>
            <w:r w:rsidRPr="004629DF">
              <w:rPr>
                <w:rFonts w:cs="Arial"/>
                <w:szCs w:val="22"/>
              </w:rPr>
              <w:t>4.1.1 Identification of ocean literacy training needs for different audiences (e.g. private sector, policy-makers, journalists)</w:t>
            </w:r>
          </w:p>
          <w:p w14:paraId="48B69E19" w14:textId="77777777" w:rsidR="006972D0" w:rsidRPr="004629DF" w:rsidRDefault="006972D0" w:rsidP="00BB46E8">
            <w:pPr>
              <w:spacing w:after="240"/>
              <w:rPr>
                <w:rFonts w:cs="Arial"/>
                <w:szCs w:val="22"/>
              </w:rPr>
            </w:pPr>
            <w:r w:rsidRPr="004629DF">
              <w:rPr>
                <w:rFonts w:cs="Arial"/>
                <w:szCs w:val="22"/>
              </w:rPr>
              <w:t>4.1.2 Formulation of ocean literacy trainings content</w:t>
            </w:r>
          </w:p>
          <w:p w14:paraId="20DBFDA6" w14:textId="77777777" w:rsidR="006972D0" w:rsidRPr="004629DF" w:rsidRDefault="006972D0" w:rsidP="00BB46E8">
            <w:pPr>
              <w:spacing w:after="240"/>
              <w:rPr>
                <w:rFonts w:cs="Arial"/>
                <w:szCs w:val="22"/>
              </w:rPr>
            </w:pPr>
            <w:r w:rsidRPr="004629DF">
              <w:rPr>
                <w:rFonts w:cs="Arial"/>
                <w:szCs w:val="22"/>
              </w:rPr>
              <w:t>4.1.3 Creation of opportunities for course delivery</w:t>
            </w:r>
          </w:p>
        </w:tc>
      </w:tr>
      <w:tr w:rsidR="006972D0" w:rsidRPr="00490F1D" w14:paraId="39D9D415" w14:textId="77777777" w:rsidTr="00663A46">
        <w:tc>
          <w:tcPr>
            <w:tcW w:w="3209" w:type="dxa"/>
            <w:vMerge/>
          </w:tcPr>
          <w:p w14:paraId="092AE808" w14:textId="77777777" w:rsidR="006972D0" w:rsidRPr="004629DF" w:rsidRDefault="006972D0" w:rsidP="00BB46E8">
            <w:pPr>
              <w:spacing w:after="240"/>
              <w:rPr>
                <w:rFonts w:cs="Arial"/>
                <w:szCs w:val="22"/>
              </w:rPr>
            </w:pPr>
          </w:p>
        </w:tc>
        <w:tc>
          <w:tcPr>
            <w:tcW w:w="3209" w:type="dxa"/>
          </w:tcPr>
          <w:p w14:paraId="4E1442C3" w14:textId="38BCDDF7" w:rsidR="006972D0" w:rsidRPr="004629DF" w:rsidRDefault="006972D0" w:rsidP="004629DF">
            <w:pPr>
              <w:spacing w:after="240"/>
              <w:ind w:left="567" w:hanging="567"/>
              <w:rPr>
                <w:rFonts w:cs="Arial"/>
                <w:szCs w:val="22"/>
              </w:rPr>
            </w:pPr>
            <w:r w:rsidRPr="004629DF">
              <w:rPr>
                <w:rFonts w:cs="Arial"/>
                <w:szCs w:val="22"/>
              </w:rPr>
              <w:t>4.2</w:t>
            </w:r>
            <w:r w:rsidR="007728B5">
              <w:rPr>
                <w:rFonts w:cs="Arial"/>
                <w:szCs w:val="22"/>
              </w:rPr>
              <w:tab/>
            </w:r>
            <w:r w:rsidRPr="004629DF">
              <w:rPr>
                <w:rFonts w:cs="Arial"/>
                <w:szCs w:val="22"/>
              </w:rPr>
              <w:t xml:space="preserve">Providing a platform for continuous exchange of good practices </w:t>
            </w:r>
          </w:p>
        </w:tc>
        <w:tc>
          <w:tcPr>
            <w:tcW w:w="3210" w:type="dxa"/>
          </w:tcPr>
          <w:p w14:paraId="7A521418" w14:textId="77777777" w:rsidR="006972D0" w:rsidRPr="004629DF" w:rsidRDefault="006972D0" w:rsidP="00BB46E8">
            <w:pPr>
              <w:spacing w:after="240"/>
              <w:rPr>
                <w:rFonts w:cs="Arial"/>
                <w:szCs w:val="22"/>
              </w:rPr>
            </w:pPr>
            <w:r w:rsidRPr="004629DF">
              <w:rPr>
                <w:rFonts w:cs="Arial"/>
                <w:szCs w:val="22"/>
              </w:rPr>
              <w:t xml:space="preserve">4.2.1 </w:t>
            </w:r>
          </w:p>
        </w:tc>
      </w:tr>
      <w:tr w:rsidR="006972D0" w:rsidRPr="00490F1D" w14:paraId="390B0BF9" w14:textId="77777777" w:rsidTr="00663A46">
        <w:tc>
          <w:tcPr>
            <w:tcW w:w="3209" w:type="dxa"/>
            <w:vMerge/>
          </w:tcPr>
          <w:p w14:paraId="74A9EABD" w14:textId="77777777" w:rsidR="006972D0" w:rsidRPr="004629DF" w:rsidRDefault="006972D0" w:rsidP="00BB46E8">
            <w:pPr>
              <w:spacing w:after="240"/>
              <w:rPr>
                <w:rFonts w:cs="Arial"/>
                <w:szCs w:val="22"/>
              </w:rPr>
            </w:pPr>
          </w:p>
        </w:tc>
        <w:tc>
          <w:tcPr>
            <w:tcW w:w="3209" w:type="dxa"/>
          </w:tcPr>
          <w:p w14:paraId="359F4EF2" w14:textId="409C2080" w:rsidR="006972D0" w:rsidRPr="004629DF" w:rsidRDefault="006972D0" w:rsidP="004629DF">
            <w:pPr>
              <w:spacing w:after="240"/>
              <w:ind w:left="567" w:hanging="567"/>
              <w:rPr>
                <w:rFonts w:cs="Arial"/>
                <w:szCs w:val="22"/>
              </w:rPr>
            </w:pPr>
            <w:r w:rsidRPr="004629DF">
              <w:rPr>
                <w:rFonts w:cs="Arial"/>
                <w:szCs w:val="22"/>
              </w:rPr>
              <w:t>4.3</w:t>
            </w:r>
            <w:r w:rsidR="007728B5">
              <w:rPr>
                <w:rFonts w:cs="Arial"/>
                <w:szCs w:val="22"/>
              </w:rPr>
              <w:tab/>
            </w:r>
            <w:r w:rsidRPr="004629DF">
              <w:rPr>
                <w:rFonts w:cs="Arial"/>
                <w:szCs w:val="22"/>
              </w:rPr>
              <w:t>Development of tools to communicate the environmental, social and economic dimensions of the ocean for society</w:t>
            </w:r>
          </w:p>
        </w:tc>
        <w:tc>
          <w:tcPr>
            <w:tcW w:w="3210" w:type="dxa"/>
          </w:tcPr>
          <w:p w14:paraId="3BA45E2D" w14:textId="77777777" w:rsidR="006972D0" w:rsidRPr="004629DF" w:rsidRDefault="006972D0" w:rsidP="00BB46E8">
            <w:pPr>
              <w:spacing w:after="240"/>
              <w:rPr>
                <w:rFonts w:cs="Arial"/>
                <w:szCs w:val="22"/>
              </w:rPr>
            </w:pPr>
            <w:r w:rsidRPr="004629DF">
              <w:rPr>
                <w:rFonts w:cs="Arial"/>
                <w:szCs w:val="22"/>
              </w:rPr>
              <w:t>4.3.1 Compile existing tools to communicate the environmental, social and economic dimensions of the ocean for society</w:t>
            </w:r>
          </w:p>
          <w:p w14:paraId="2BBDAA08" w14:textId="77777777" w:rsidR="006972D0" w:rsidRPr="004629DF" w:rsidRDefault="006972D0" w:rsidP="00BB46E8">
            <w:pPr>
              <w:spacing w:after="240"/>
              <w:rPr>
                <w:rFonts w:cs="Arial"/>
                <w:szCs w:val="22"/>
              </w:rPr>
            </w:pPr>
            <w:r w:rsidRPr="004629DF">
              <w:rPr>
                <w:rFonts w:cs="Arial"/>
                <w:szCs w:val="22"/>
              </w:rPr>
              <w:t>4.3.2 Assess the efficacy of those tools and verify the needs for additional tools</w:t>
            </w:r>
          </w:p>
          <w:p w14:paraId="2630CBE6" w14:textId="77777777" w:rsidR="006972D0" w:rsidRPr="004629DF" w:rsidRDefault="006972D0" w:rsidP="00BB46E8">
            <w:pPr>
              <w:spacing w:after="240"/>
              <w:rPr>
                <w:rFonts w:cs="Arial"/>
                <w:szCs w:val="22"/>
              </w:rPr>
            </w:pPr>
            <w:r w:rsidRPr="004629DF">
              <w:rPr>
                <w:rFonts w:cs="Arial"/>
                <w:szCs w:val="22"/>
              </w:rPr>
              <w:t>4.3.3 Partner with experts to fill gaps</w:t>
            </w:r>
          </w:p>
        </w:tc>
      </w:tr>
      <w:tr w:rsidR="006972D0" w:rsidRPr="00490F1D" w14:paraId="4345B6CF" w14:textId="77777777" w:rsidTr="00663A46">
        <w:tc>
          <w:tcPr>
            <w:tcW w:w="3209" w:type="dxa"/>
            <w:vMerge w:val="restart"/>
          </w:tcPr>
          <w:p w14:paraId="77D72BFE" w14:textId="4097AB30" w:rsidR="006972D0" w:rsidRPr="004629DF" w:rsidRDefault="006972D0" w:rsidP="00BB46E8">
            <w:pPr>
              <w:numPr>
                <w:ilvl w:val="0"/>
                <w:numId w:val="24"/>
              </w:numPr>
              <w:spacing w:after="240"/>
              <w:rPr>
                <w:rFonts w:cs="Arial"/>
                <w:b/>
                <w:szCs w:val="22"/>
              </w:rPr>
            </w:pPr>
            <w:r w:rsidRPr="004629DF">
              <w:rPr>
                <w:rFonts w:cs="Arial"/>
                <w:b/>
                <w:szCs w:val="22"/>
              </w:rPr>
              <w:t xml:space="preserve">Reinforced research on human </w:t>
            </w:r>
            <w:r w:rsidR="007728B5" w:rsidRPr="00490F1D">
              <w:rPr>
                <w:rFonts w:cs="Arial"/>
                <w:b/>
                <w:szCs w:val="22"/>
              </w:rPr>
              <w:t>behavioural</w:t>
            </w:r>
            <w:r w:rsidRPr="004629DF">
              <w:rPr>
                <w:rFonts w:cs="Arial"/>
                <w:b/>
                <w:szCs w:val="22"/>
              </w:rPr>
              <w:t xml:space="preserve"> change, science communication and impacts of ocean literacy to improve its efficacy</w:t>
            </w:r>
          </w:p>
        </w:tc>
        <w:tc>
          <w:tcPr>
            <w:tcW w:w="3209" w:type="dxa"/>
          </w:tcPr>
          <w:p w14:paraId="14BF95A1" w14:textId="2E8CAC07" w:rsidR="006972D0" w:rsidRPr="004629DF" w:rsidRDefault="006972D0" w:rsidP="004629DF">
            <w:pPr>
              <w:spacing w:after="240"/>
              <w:ind w:left="567" w:hanging="567"/>
              <w:rPr>
                <w:rFonts w:cs="Arial"/>
                <w:szCs w:val="22"/>
              </w:rPr>
            </w:pPr>
            <w:r w:rsidRPr="004629DF">
              <w:rPr>
                <w:rFonts w:cs="Arial"/>
                <w:szCs w:val="22"/>
              </w:rPr>
              <w:t>5.1</w:t>
            </w:r>
            <w:r w:rsidR="007728B5">
              <w:rPr>
                <w:rFonts w:cs="Arial"/>
                <w:szCs w:val="22"/>
              </w:rPr>
              <w:tab/>
            </w:r>
            <w:r w:rsidRPr="004629DF">
              <w:rPr>
                <w:rFonts w:cs="Arial"/>
                <w:szCs w:val="22"/>
              </w:rPr>
              <w:t xml:space="preserve">Establish experts networks on </w:t>
            </w:r>
            <w:r w:rsidR="007728B5" w:rsidRPr="00490F1D">
              <w:rPr>
                <w:rFonts w:cs="Arial"/>
                <w:szCs w:val="22"/>
              </w:rPr>
              <w:t>behavioural</w:t>
            </w:r>
            <w:r w:rsidRPr="004629DF">
              <w:rPr>
                <w:rFonts w:cs="Arial"/>
                <w:szCs w:val="22"/>
              </w:rPr>
              <w:t xml:space="preserve"> change, science communication, and impact assessment</w:t>
            </w:r>
          </w:p>
        </w:tc>
        <w:tc>
          <w:tcPr>
            <w:tcW w:w="3210" w:type="dxa"/>
          </w:tcPr>
          <w:p w14:paraId="56097120" w14:textId="3B1FB6BF" w:rsidR="006972D0" w:rsidRPr="004629DF" w:rsidRDefault="006972D0" w:rsidP="00BB46E8">
            <w:pPr>
              <w:spacing w:after="240"/>
              <w:rPr>
                <w:rFonts w:cs="Arial"/>
                <w:szCs w:val="22"/>
              </w:rPr>
            </w:pPr>
            <w:r w:rsidRPr="004629DF">
              <w:rPr>
                <w:rFonts w:cs="Arial"/>
                <w:szCs w:val="22"/>
              </w:rPr>
              <w:t xml:space="preserve">5.1.1 Identify experts in the field of </w:t>
            </w:r>
            <w:r w:rsidR="007728B5" w:rsidRPr="00490F1D">
              <w:rPr>
                <w:rFonts w:cs="Arial"/>
                <w:szCs w:val="22"/>
              </w:rPr>
              <w:t>behavioural</w:t>
            </w:r>
            <w:r w:rsidRPr="004629DF">
              <w:rPr>
                <w:rFonts w:cs="Arial"/>
                <w:szCs w:val="22"/>
              </w:rPr>
              <w:t xml:space="preserve"> change, science communication, and impact assessment</w:t>
            </w:r>
          </w:p>
        </w:tc>
      </w:tr>
      <w:tr w:rsidR="006972D0" w:rsidRPr="00490F1D" w14:paraId="49D9AE40" w14:textId="77777777" w:rsidTr="00663A46">
        <w:tc>
          <w:tcPr>
            <w:tcW w:w="3209" w:type="dxa"/>
            <w:vMerge/>
          </w:tcPr>
          <w:p w14:paraId="64830966" w14:textId="77777777" w:rsidR="006972D0" w:rsidRPr="004629DF" w:rsidRDefault="006972D0" w:rsidP="00BB46E8">
            <w:pPr>
              <w:numPr>
                <w:ilvl w:val="0"/>
                <w:numId w:val="24"/>
              </w:numPr>
              <w:spacing w:after="240"/>
              <w:rPr>
                <w:rFonts w:cs="Arial"/>
                <w:szCs w:val="22"/>
              </w:rPr>
            </w:pPr>
          </w:p>
        </w:tc>
        <w:tc>
          <w:tcPr>
            <w:tcW w:w="3209" w:type="dxa"/>
          </w:tcPr>
          <w:p w14:paraId="120C84F8" w14:textId="41B0AE9C" w:rsidR="006972D0" w:rsidRPr="004629DF" w:rsidRDefault="006972D0" w:rsidP="004629DF">
            <w:pPr>
              <w:spacing w:after="240"/>
              <w:ind w:left="567" w:hanging="567"/>
              <w:rPr>
                <w:rFonts w:cs="Arial"/>
                <w:szCs w:val="22"/>
              </w:rPr>
            </w:pPr>
            <w:r w:rsidRPr="004629DF">
              <w:rPr>
                <w:rFonts w:cs="Arial"/>
                <w:szCs w:val="22"/>
              </w:rPr>
              <w:t>5.2</w:t>
            </w:r>
            <w:r w:rsidR="007728B5">
              <w:rPr>
                <w:rFonts w:cs="Arial"/>
                <w:szCs w:val="22"/>
              </w:rPr>
              <w:tab/>
            </w:r>
            <w:r w:rsidRPr="004629DF">
              <w:rPr>
                <w:rFonts w:cs="Arial"/>
                <w:szCs w:val="22"/>
              </w:rPr>
              <w:t xml:space="preserve">Development of tools for </w:t>
            </w:r>
            <w:r w:rsidR="007728B5" w:rsidRPr="00490F1D">
              <w:rPr>
                <w:rFonts w:cs="Arial"/>
                <w:szCs w:val="22"/>
              </w:rPr>
              <w:t>behavioural</w:t>
            </w:r>
            <w:r w:rsidRPr="004629DF">
              <w:rPr>
                <w:rFonts w:cs="Arial"/>
                <w:szCs w:val="22"/>
              </w:rPr>
              <w:t xml:space="preserve"> change, science communication, and impact assessment</w:t>
            </w:r>
          </w:p>
        </w:tc>
        <w:tc>
          <w:tcPr>
            <w:tcW w:w="3210" w:type="dxa"/>
          </w:tcPr>
          <w:p w14:paraId="0555DBB0" w14:textId="3227809F" w:rsidR="006972D0" w:rsidRPr="004629DF" w:rsidRDefault="006972D0" w:rsidP="00BB46E8">
            <w:pPr>
              <w:spacing w:after="240"/>
              <w:rPr>
                <w:rFonts w:cs="Arial"/>
                <w:szCs w:val="22"/>
              </w:rPr>
            </w:pPr>
            <w:r w:rsidRPr="004629DF">
              <w:rPr>
                <w:rFonts w:cs="Arial"/>
                <w:szCs w:val="22"/>
              </w:rPr>
              <w:t xml:space="preserve">5.2.1 In partnership with experts identify opportunities to develop innovative tools for </w:t>
            </w:r>
            <w:r w:rsidR="007728B5" w:rsidRPr="00490F1D">
              <w:rPr>
                <w:rFonts w:cs="Arial"/>
                <w:szCs w:val="22"/>
              </w:rPr>
              <w:t>behaviour</w:t>
            </w:r>
            <w:r w:rsidRPr="004629DF">
              <w:rPr>
                <w:rFonts w:cs="Arial"/>
                <w:szCs w:val="22"/>
              </w:rPr>
              <w:t xml:space="preserve"> change, science communication, and impact assessment</w:t>
            </w:r>
          </w:p>
        </w:tc>
      </w:tr>
      <w:tr w:rsidR="006972D0" w:rsidRPr="00490F1D" w14:paraId="0C46745C" w14:textId="77777777" w:rsidTr="00663A46">
        <w:tc>
          <w:tcPr>
            <w:tcW w:w="3209" w:type="dxa"/>
            <w:vMerge/>
          </w:tcPr>
          <w:p w14:paraId="3EFEB9BF" w14:textId="77777777" w:rsidR="006972D0" w:rsidRPr="004629DF" w:rsidRDefault="006972D0" w:rsidP="00BB46E8">
            <w:pPr>
              <w:numPr>
                <w:ilvl w:val="0"/>
                <w:numId w:val="24"/>
              </w:numPr>
              <w:spacing w:after="240"/>
              <w:rPr>
                <w:rFonts w:cs="Arial"/>
                <w:szCs w:val="22"/>
              </w:rPr>
            </w:pPr>
          </w:p>
        </w:tc>
        <w:tc>
          <w:tcPr>
            <w:tcW w:w="3209" w:type="dxa"/>
          </w:tcPr>
          <w:p w14:paraId="4D28AED3" w14:textId="72BC8938" w:rsidR="006972D0" w:rsidRPr="004629DF" w:rsidRDefault="006972D0" w:rsidP="004629DF">
            <w:pPr>
              <w:spacing w:after="240"/>
              <w:ind w:left="567" w:hanging="567"/>
              <w:rPr>
                <w:rFonts w:cs="Arial"/>
                <w:szCs w:val="22"/>
              </w:rPr>
            </w:pPr>
            <w:r w:rsidRPr="004629DF">
              <w:rPr>
                <w:rFonts w:cs="Arial"/>
                <w:szCs w:val="22"/>
              </w:rPr>
              <w:t>5.3</w:t>
            </w:r>
            <w:r w:rsidR="007728B5">
              <w:rPr>
                <w:rFonts w:cs="Arial"/>
                <w:szCs w:val="22"/>
              </w:rPr>
              <w:tab/>
            </w:r>
            <w:r w:rsidRPr="004629DF">
              <w:rPr>
                <w:rFonts w:cs="Arial"/>
                <w:szCs w:val="22"/>
              </w:rPr>
              <w:t xml:space="preserve">Promotion of research projects on </w:t>
            </w:r>
            <w:r w:rsidR="007728B5" w:rsidRPr="00490F1D">
              <w:rPr>
                <w:rFonts w:cs="Arial"/>
                <w:szCs w:val="22"/>
              </w:rPr>
              <w:t>behaviour</w:t>
            </w:r>
            <w:r w:rsidRPr="004629DF">
              <w:rPr>
                <w:rFonts w:cs="Arial"/>
                <w:szCs w:val="22"/>
              </w:rPr>
              <w:t xml:space="preserve"> change, science communication and impacts of ocean literacy</w:t>
            </w:r>
          </w:p>
        </w:tc>
        <w:tc>
          <w:tcPr>
            <w:tcW w:w="3210" w:type="dxa"/>
          </w:tcPr>
          <w:p w14:paraId="2CC7B7B6" w14:textId="45E921C1" w:rsidR="006972D0" w:rsidRPr="004629DF" w:rsidRDefault="006972D0" w:rsidP="00BB46E8">
            <w:pPr>
              <w:spacing w:after="240"/>
              <w:rPr>
                <w:rFonts w:cs="Arial"/>
                <w:szCs w:val="22"/>
              </w:rPr>
            </w:pPr>
            <w:r w:rsidRPr="004629DF">
              <w:rPr>
                <w:rFonts w:cs="Arial"/>
                <w:szCs w:val="22"/>
              </w:rPr>
              <w:t xml:space="preserve">5.3.1 Verify the existence of projects on </w:t>
            </w:r>
            <w:r w:rsidR="007728B5" w:rsidRPr="00490F1D">
              <w:rPr>
                <w:rFonts w:cs="Arial"/>
                <w:szCs w:val="22"/>
              </w:rPr>
              <w:t>behaviour</w:t>
            </w:r>
            <w:r w:rsidRPr="004629DF">
              <w:rPr>
                <w:rFonts w:cs="Arial"/>
                <w:szCs w:val="22"/>
              </w:rPr>
              <w:t xml:space="preserve"> change, science communication and impacts of ocean literacy </w:t>
            </w:r>
          </w:p>
          <w:p w14:paraId="04DF798B" w14:textId="77777777" w:rsidR="006972D0" w:rsidRPr="004629DF" w:rsidRDefault="006972D0" w:rsidP="00BB46E8">
            <w:pPr>
              <w:spacing w:after="240"/>
              <w:rPr>
                <w:rFonts w:cs="Arial"/>
                <w:szCs w:val="22"/>
              </w:rPr>
            </w:pPr>
            <w:r w:rsidRPr="004629DF">
              <w:rPr>
                <w:rFonts w:cs="Arial"/>
                <w:szCs w:val="22"/>
              </w:rPr>
              <w:t>5.3.2 Define what gaps needs to be filled in those research areas</w:t>
            </w:r>
          </w:p>
        </w:tc>
      </w:tr>
      <w:tr w:rsidR="006972D0" w:rsidRPr="00490F1D" w14:paraId="7B87C58C" w14:textId="77777777" w:rsidTr="00663A46">
        <w:tc>
          <w:tcPr>
            <w:tcW w:w="3209" w:type="dxa"/>
            <w:vMerge w:val="restart"/>
          </w:tcPr>
          <w:p w14:paraId="05EA9D01" w14:textId="77777777" w:rsidR="006972D0" w:rsidRPr="004629DF" w:rsidRDefault="006972D0" w:rsidP="00BB46E8">
            <w:pPr>
              <w:numPr>
                <w:ilvl w:val="0"/>
                <w:numId w:val="24"/>
              </w:numPr>
              <w:spacing w:after="240"/>
              <w:rPr>
                <w:rFonts w:cs="Arial"/>
                <w:b/>
                <w:szCs w:val="22"/>
              </w:rPr>
            </w:pPr>
            <w:r w:rsidRPr="004629DF">
              <w:rPr>
                <w:rFonts w:cs="Arial"/>
                <w:b/>
                <w:szCs w:val="22"/>
              </w:rPr>
              <w:t xml:space="preserve">Resource mobilization reinforced </w:t>
            </w:r>
          </w:p>
        </w:tc>
        <w:tc>
          <w:tcPr>
            <w:tcW w:w="3209" w:type="dxa"/>
          </w:tcPr>
          <w:p w14:paraId="1495EFF4" w14:textId="1BC0BF0F" w:rsidR="006972D0" w:rsidRPr="004629DF" w:rsidRDefault="006972D0" w:rsidP="00BB46E8">
            <w:pPr>
              <w:spacing w:after="240"/>
              <w:rPr>
                <w:rFonts w:cs="Arial"/>
                <w:szCs w:val="22"/>
              </w:rPr>
            </w:pPr>
            <w:r w:rsidRPr="004629DF">
              <w:rPr>
                <w:rFonts w:cs="Arial"/>
                <w:szCs w:val="22"/>
              </w:rPr>
              <w:t>6.1</w:t>
            </w:r>
            <w:r w:rsidR="007728B5">
              <w:rPr>
                <w:rFonts w:cs="Arial"/>
                <w:szCs w:val="22"/>
              </w:rPr>
              <w:tab/>
            </w:r>
            <w:r w:rsidRPr="004629DF">
              <w:rPr>
                <w:rFonts w:cs="Arial"/>
                <w:szCs w:val="22"/>
              </w:rPr>
              <w:t>In-kind opportunities</w:t>
            </w:r>
          </w:p>
        </w:tc>
        <w:tc>
          <w:tcPr>
            <w:tcW w:w="3210" w:type="dxa"/>
          </w:tcPr>
          <w:p w14:paraId="57232D25" w14:textId="77777777" w:rsidR="006972D0" w:rsidRPr="004629DF" w:rsidRDefault="006972D0" w:rsidP="00BB46E8">
            <w:pPr>
              <w:spacing w:after="240"/>
              <w:rPr>
                <w:rFonts w:cs="Arial"/>
                <w:szCs w:val="22"/>
              </w:rPr>
            </w:pPr>
            <w:r w:rsidRPr="004629DF">
              <w:rPr>
                <w:rFonts w:cs="Arial"/>
                <w:szCs w:val="22"/>
              </w:rPr>
              <w:t>6.1.1 Fostering partnerships to increase in-kind support</w:t>
            </w:r>
          </w:p>
        </w:tc>
      </w:tr>
      <w:tr w:rsidR="006972D0" w:rsidRPr="00490F1D" w14:paraId="35EDA42A" w14:textId="77777777" w:rsidTr="00663A46">
        <w:tc>
          <w:tcPr>
            <w:tcW w:w="3209" w:type="dxa"/>
            <w:vMerge/>
          </w:tcPr>
          <w:p w14:paraId="22B27549" w14:textId="77777777" w:rsidR="006972D0" w:rsidRPr="004629DF" w:rsidRDefault="006972D0" w:rsidP="00BB46E8">
            <w:pPr>
              <w:spacing w:after="240"/>
              <w:rPr>
                <w:rFonts w:cs="Arial"/>
                <w:szCs w:val="22"/>
              </w:rPr>
            </w:pPr>
          </w:p>
        </w:tc>
        <w:tc>
          <w:tcPr>
            <w:tcW w:w="3209" w:type="dxa"/>
          </w:tcPr>
          <w:p w14:paraId="334A3AE0" w14:textId="4C6E6309" w:rsidR="006972D0" w:rsidRPr="004629DF" w:rsidRDefault="006972D0" w:rsidP="004629DF">
            <w:pPr>
              <w:spacing w:after="240"/>
              <w:ind w:left="567" w:hanging="567"/>
              <w:rPr>
                <w:rFonts w:cs="Arial"/>
                <w:szCs w:val="22"/>
              </w:rPr>
            </w:pPr>
            <w:r w:rsidRPr="004629DF">
              <w:rPr>
                <w:rFonts w:cs="Arial"/>
                <w:szCs w:val="22"/>
              </w:rPr>
              <w:t>6.2</w:t>
            </w:r>
            <w:r w:rsidR="007728B5">
              <w:rPr>
                <w:rFonts w:cs="Arial"/>
                <w:szCs w:val="22"/>
              </w:rPr>
              <w:tab/>
            </w:r>
            <w:r w:rsidRPr="004629DF">
              <w:rPr>
                <w:rFonts w:cs="Arial"/>
                <w:szCs w:val="22"/>
              </w:rPr>
              <w:t xml:space="preserve">Financial support by Member States, Private Sector and Philanthropies to IOC activities </w:t>
            </w:r>
          </w:p>
        </w:tc>
        <w:tc>
          <w:tcPr>
            <w:tcW w:w="3210" w:type="dxa"/>
          </w:tcPr>
          <w:p w14:paraId="41C1768C" w14:textId="77777777" w:rsidR="006972D0" w:rsidRPr="004629DF" w:rsidRDefault="006972D0" w:rsidP="00BB46E8">
            <w:pPr>
              <w:spacing w:after="240"/>
              <w:rPr>
                <w:rFonts w:cs="Arial"/>
                <w:szCs w:val="22"/>
              </w:rPr>
            </w:pPr>
            <w:r w:rsidRPr="004629DF">
              <w:rPr>
                <w:rFonts w:cs="Arial"/>
                <w:szCs w:val="22"/>
              </w:rPr>
              <w:t xml:space="preserve">6.2.1 Resource mobilization from Member State, Institutional and Private Sector Partners </w:t>
            </w:r>
          </w:p>
        </w:tc>
      </w:tr>
    </w:tbl>
    <w:p w14:paraId="78BFA7C9" w14:textId="77777777" w:rsidR="00F83163" w:rsidRPr="004629DF" w:rsidRDefault="00F83163" w:rsidP="00BB46E8">
      <w:pPr>
        <w:spacing w:after="240"/>
        <w:rPr>
          <w:rFonts w:cs="Arial"/>
          <w:szCs w:val="22"/>
        </w:rPr>
      </w:pPr>
    </w:p>
    <w:p w14:paraId="4521C9D6" w14:textId="77777777" w:rsidR="00791108" w:rsidRPr="004629DF" w:rsidRDefault="00791108" w:rsidP="00BB46E8">
      <w:pPr>
        <w:pStyle w:val="ListParagraph"/>
        <w:numPr>
          <w:ilvl w:val="0"/>
          <w:numId w:val="0"/>
        </w:numPr>
        <w:jc w:val="both"/>
        <w:rPr>
          <w:rFonts w:hAnsi="Arial" w:cs="Arial"/>
          <w:b/>
          <w:lang w:val="en-GB"/>
        </w:rPr>
      </w:pPr>
      <w:r w:rsidRPr="004629DF">
        <w:rPr>
          <w:rFonts w:hAnsi="Arial" w:cs="Arial"/>
          <w:b/>
          <w:lang w:val="en-GB"/>
        </w:rPr>
        <w:t>Financial implications</w:t>
      </w:r>
    </w:p>
    <w:p w14:paraId="3C48E232" w14:textId="389C29EA" w:rsidR="00791108" w:rsidRPr="004629DF" w:rsidRDefault="00791108" w:rsidP="004629DF">
      <w:pPr>
        <w:pStyle w:val="ListParagraph"/>
        <w:numPr>
          <w:ilvl w:val="0"/>
          <w:numId w:val="25"/>
        </w:numPr>
        <w:tabs>
          <w:tab w:val="clear" w:pos="720"/>
          <w:tab w:val="left" w:pos="709"/>
        </w:tabs>
        <w:ind w:left="0" w:firstLine="0"/>
        <w:jc w:val="both"/>
        <w:rPr>
          <w:rFonts w:hAnsi="Arial" w:cs="Arial"/>
          <w:lang w:val="en-GB"/>
        </w:rPr>
      </w:pPr>
      <w:r w:rsidRPr="004629DF">
        <w:rPr>
          <w:rFonts w:hAnsi="Arial" w:cs="Arial"/>
          <w:lang w:val="en-GB"/>
        </w:rPr>
        <w:t xml:space="preserve">It is estimated that costs related to the </w:t>
      </w:r>
      <w:r w:rsidR="00F83163" w:rsidRPr="004629DF">
        <w:rPr>
          <w:rFonts w:hAnsi="Arial" w:cs="Arial"/>
          <w:lang w:val="en-GB"/>
        </w:rPr>
        <w:t xml:space="preserve">implementation of the </w:t>
      </w:r>
      <w:r w:rsidR="00FC0350" w:rsidRPr="004629DF">
        <w:rPr>
          <w:rFonts w:hAnsi="Arial" w:cs="Arial"/>
          <w:lang w:val="en-GB"/>
        </w:rPr>
        <w:t>above-mentioned</w:t>
      </w:r>
      <w:r w:rsidR="00F83163" w:rsidRPr="004629DF">
        <w:rPr>
          <w:rFonts w:hAnsi="Arial" w:cs="Arial"/>
          <w:lang w:val="en-GB"/>
        </w:rPr>
        <w:t xml:space="preserve"> activities</w:t>
      </w:r>
      <w:r w:rsidR="00DC702F" w:rsidRPr="004629DF">
        <w:rPr>
          <w:rFonts w:hAnsi="Arial" w:cs="Arial"/>
          <w:lang w:val="en-GB"/>
        </w:rPr>
        <w:t>, including staff cost,</w:t>
      </w:r>
      <w:r w:rsidR="00F83163" w:rsidRPr="004629DF">
        <w:rPr>
          <w:rFonts w:hAnsi="Arial" w:cs="Arial"/>
          <w:lang w:val="en-GB"/>
        </w:rPr>
        <w:t xml:space="preserve"> </w:t>
      </w:r>
      <w:r w:rsidRPr="004629DF">
        <w:rPr>
          <w:rFonts w:hAnsi="Arial" w:cs="Arial"/>
          <w:lang w:val="en-GB"/>
        </w:rPr>
        <w:t xml:space="preserve">will amount to approximately </w:t>
      </w:r>
      <w:r w:rsidR="00DE6C21" w:rsidRPr="004629DF">
        <w:rPr>
          <w:rFonts w:hAnsi="Arial" w:cs="Arial"/>
          <w:lang w:val="en-GB"/>
        </w:rPr>
        <w:t>US</w:t>
      </w:r>
      <w:r w:rsidR="006972D0" w:rsidRPr="004629DF">
        <w:rPr>
          <w:rFonts w:hAnsi="Arial" w:cs="Arial"/>
          <w:lang w:val="en-GB"/>
        </w:rPr>
        <w:t>$</w:t>
      </w:r>
      <w:r w:rsidR="00DC702F" w:rsidRPr="004629DF">
        <w:rPr>
          <w:rFonts w:hAnsi="Arial" w:cs="Arial"/>
          <w:lang w:val="en-GB"/>
        </w:rPr>
        <w:t>480</w:t>
      </w:r>
      <w:r w:rsidRPr="004629DF">
        <w:rPr>
          <w:rFonts w:hAnsi="Arial" w:cs="Arial"/>
          <w:lang w:val="en-GB"/>
        </w:rPr>
        <w:t>,000 per biennium.</w:t>
      </w:r>
    </w:p>
    <w:sectPr w:rsidR="00791108" w:rsidRPr="004629DF" w:rsidSect="00A735E5">
      <w:headerReference w:type="even" r:id="rId21"/>
      <w:headerReference w:type="default" r:id="rId22"/>
      <w:headerReference w:type="first" r:id="rId23"/>
      <w:type w:val="oddPage"/>
      <w:pgSz w:w="11906" w:h="16838" w:code="9"/>
      <w:pgMar w:top="1418" w:right="1134" w:bottom="1134" w:left="1134" w:header="709" w:footer="680"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C8B19" w16cid:durableId="20616D31"/>
  <w16cid:commentId w16cid:paraId="155123B0" w16cid:durableId="20616CB3"/>
  <w16cid:commentId w16cid:paraId="64D2D61A" w16cid:durableId="20616CE1"/>
  <w16cid:commentId w16cid:paraId="076C8202" w16cid:durableId="20616CF0"/>
  <w16cid:commentId w16cid:paraId="68C4430B" w16cid:durableId="20616D16"/>
  <w16cid:commentId w16cid:paraId="4C4CDF4D" w16cid:durableId="20616D41"/>
  <w16cid:commentId w16cid:paraId="3C1F72CD" w16cid:durableId="20616D52"/>
  <w16cid:commentId w16cid:paraId="1D83F68B" w16cid:durableId="20616D69"/>
  <w16cid:commentId w16cid:paraId="6A9604B1" w16cid:durableId="20616D72"/>
  <w16cid:commentId w16cid:paraId="183EDE1C" w16cid:durableId="20616D92"/>
  <w16cid:commentId w16cid:paraId="3EDB898D" w16cid:durableId="20616DC6"/>
  <w16cid:commentId w16cid:paraId="0738B49A" w16cid:durableId="20616E68"/>
  <w16cid:commentId w16cid:paraId="25752B46" w16cid:durableId="20616E15"/>
  <w16cid:commentId w16cid:paraId="1B09E02B" w16cid:durableId="20616E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63C71" w14:textId="77777777" w:rsidR="00CE3CF7" w:rsidRDefault="00CE3CF7">
      <w:r>
        <w:separator/>
      </w:r>
    </w:p>
  </w:endnote>
  <w:endnote w:type="continuationSeparator" w:id="0">
    <w:p w14:paraId="78514651" w14:textId="77777777" w:rsidR="00CE3CF7" w:rsidRDefault="00CE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46C57" w14:textId="77777777" w:rsidR="00CE3CF7" w:rsidRDefault="00CE3CF7">
      <w:r>
        <w:separator/>
      </w:r>
    </w:p>
  </w:footnote>
  <w:footnote w:type="continuationSeparator" w:id="0">
    <w:p w14:paraId="631044ED" w14:textId="77777777" w:rsidR="00CE3CF7" w:rsidRDefault="00CE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CF43" w14:textId="77777777" w:rsidR="003821AE" w:rsidRPr="00C962F0" w:rsidRDefault="003821AE">
    <w:pPr>
      <w:pStyle w:val="Header"/>
      <w:rPr>
        <w:szCs w:val="22"/>
      </w:rPr>
    </w:pPr>
    <w:r w:rsidRPr="00C962F0">
      <w:rPr>
        <w:szCs w:val="22"/>
      </w:rPr>
      <w:t>ICG/CARIBE-EWS II/WD </w:t>
    </w:r>
    <w:r w:rsidRPr="00C962F0">
      <w:rPr>
        <w:szCs w:val="22"/>
        <w:highlight w:val="cyan"/>
      </w:rPr>
      <w:t>__</w:t>
    </w:r>
  </w:p>
  <w:p w14:paraId="0E1E1310" w14:textId="77777777" w:rsidR="003821AE" w:rsidRPr="00C962F0" w:rsidRDefault="003821AE">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sidR="009638B6">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F602" w14:textId="77777777" w:rsidR="003821AE" w:rsidRPr="00746B89" w:rsidRDefault="003821AE" w:rsidP="00DF2FB9">
    <w:pPr>
      <w:pStyle w:val="Header"/>
      <w:tabs>
        <w:tab w:val="clear" w:pos="8306"/>
      </w:tabs>
      <w:rPr>
        <w:szCs w:val="22"/>
      </w:rPr>
    </w:pPr>
    <w:r w:rsidRPr="00746B89">
      <w:rPr>
        <w:szCs w:val="22"/>
      </w:rPr>
      <w:t xml:space="preserve">IOC-XXIV/2 Annex </w:t>
    </w:r>
    <w:r w:rsidRPr="00746B89">
      <w:rPr>
        <w:szCs w:val="22"/>
        <w:highlight w:val="yellow"/>
      </w:rPr>
      <w:t>__</w:t>
    </w:r>
  </w:p>
  <w:p w14:paraId="2C646459" w14:textId="77777777" w:rsidR="003821AE" w:rsidRPr="00746B89" w:rsidRDefault="003821AE"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226A77F6" w14:textId="77777777" w:rsidR="003821AE" w:rsidRPr="00DF2FB9" w:rsidRDefault="003821AE"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633E" w14:textId="6A04E297" w:rsidR="003821AE" w:rsidRPr="005E544C" w:rsidRDefault="003821AE" w:rsidP="004629DF">
    <w:pPr>
      <w:pStyle w:val="Marge"/>
      <w:tabs>
        <w:tab w:val="left" w:pos="6096"/>
      </w:tabs>
      <w:spacing w:after="0"/>
      <w:rPr>
        <w:rFonts w:cs="Arial"/>
        <w:b/>
        <w:szCs w:val="22"/>
      </w:rPr>
    </w:pPr>
    <w:r w:rsidRPr="005E544C">
      <w:rPr>
        <w:rFonts w:cs="Arial"/>
        <w:szCs w:val="22"/>
      </w:rPr>
      <w:t>Restricted Distribution</w:t>
    </w:r>
    <w:r w:rsidRPr="005E544C">
      <w:rPr>
        <w:rFonts w:cs="Arial"/>
        <w:szCs w:val="22"/>
      </w:rPr>
      <w:tab/>
    </w:r>
    <w:r w:rsidRPr="008A6E5C">
      <w:rPr>
        <w:rFonts w:cs="Arial"/>
        <w:b/>
        <w:sz w:val="36"/>
        <w:szCs w:val="36"/>
      </w:rPr>
      <w:t>IOC</w:t>
    </w:r>
    <w:r w:rsidR="00684ADD">
      <w:rPr>
        <w:rFonts w:cs="Arial"/>
        <w:b/>
        <w:sz w:val="36"/>
        <w:szCs w:val="36"/>
      </w:rPr>
      <w:t>-XXX/2</w:t>
    </w:r>
    <w:r>
      <w:rPr>
        <w:rFonts w:cs="Arial"/>
        <w:b/>
        <w:sz w:val="36"/>
        <w:szCs w:val="36"/>
      </w:rPr>
      <w:t xml:space="preserve"> Annex </w:t>
    </w:r>
    <w:r w:rsidR="008D0479">
      <w:rPr>
        <w:rFonts w:cs="Arial"/>
        <w:b/>
        <w:sz w:val="36"/>
        <w:szCs w:val="36"/>
      </w:rPr>
      <w:t>7</w:t>
    </w:r>
  </w:p>
  <w:p w14:paraId="20311F69" w14:textId="77777777" w:rsidR="003821AE" w:rsidRDefault="003821AE" w:rsidP="004629DF">
    <w:pPr>
      <w:tabs>
        <w:tab w:val="clear" w:pos="567"/>
        <w:tab w:val="left" w:pos="6120"/>
      </w:tabs>
      <w:jc w:val="both"/>
      <w:rPr>
        <w:rFonts w:cs="Arial"/>
        <w:b/>
        <w:szCs w:val="22"/>
      </w:rPr>
    </w:pPr>
  </w:p>
  <w:p w14:paraId="178EC97A" w14:textId="5875B477" w:rsidR="003821AE" w:rsidRPr="005E544C" w:rsidRDefault="003821AE" w:rsidP="004629DF">
    <w:pPr>
      <w:tabs>
        <w:tab w:val="clear" w:pos="567"/>
        <w:tab w:val="left" w:pos="6096"/>
      </w:tabs>
      <w:jc w:val="both"/>
      <w:rPr>
        <w:rFonts w:cs="Arial"/>
        <w:szCs w:val="22"/>
      </w:rPr>
    </w:pPr>
    <w:r w:rsidRPr="005E544C">
      <w:rPr>
        <w:rFonts w:cs="Arial"/>
        <w:b/>
        <w:szCs w:val="22"/>
      </w:rPr>
      <w:tab/>
    </w:r>
    <w:r w:rsidRPr="005E544C">
      <w:rPr>
        <w:rFonts w:cs="Arial"/>
        <w:szCs w:val="22"/>
      </w:rPr>
      <w:t xml:space="preserve">Paris, </w:t>
    </w:r>
    <w:r w:rsidR="00AC6838">
      <w:rPr>
        <w:rFonts w:cs="Arial"/>
        <w:szCs w:val="22"/>
      </w:rPr>
      <w:t>5 May</w:t>
    </w:r>
    <w:r w:rsidR="00684ADD">
      <w:rPr>
        <w:rFonts w:cs="Arial"/>
        <w:szCs w:val="22"/>
      </w:rPr>
      <w:t xml:space="preserve"> 2019</w:t>
    </w:r>
  </w:p>
  <w:p w14:paraId="5BD407FD" w14:textId="77777777" w:rsidR="003821AE" w:rsidRPr="005E544C" w:rsidRDefault="003821AE" w:rsidP="004629DF">
    <w:pPr>
      <w:tabs>
        <w:tab w:val="clear" w:pos="567"/>
        <w:tab w:val="left" w:pos="6096"/>
      </w:tabs>
      <w:jc w:val="both"/>
      <w:rPr>
        <w:rFonts w:cs="Arial"/>
        <w:szCs w:val="22"/>
      </w:rPr>
    </w:pPr>
    <w:r w:rsidRPr="005E544C">
      <w:rPr>
        <w:rFonts w:cs="Arial"/>
        <w:b/>
        <w:szCs w:val="22"/>
      </w:rPr>
      <w:tab/>
    </w:r>
    <w:r w:rsidRPr="005E544C">
      <w:rPr>
        <w:rFonts w:cs="Arial"/>
        <w:szCs w:val="22"/>
      </w:rPr>
      <w:t>Original: English</w:t>
    </w:r>
  </w:p>
  <w:p w14:paraId="7043575D" w14:textId="77777777" w:rsidR="003821AE" w:rsidRPr="005E544C" w:rsidRDefault="003821AE"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627B7E8C" w14:textId="77777777" w:rsidR="003821AE" w:rsidRPr="005E544C" w:rsidRDefault="003821AE"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36B2B320" w14:textId="77777777" w:rsidR="003821AE" w:rsidRPr="00010BBB" w:rsidRDefault="003821A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Cs w:val="22"/>
        <w:lang w:val="fr-FR" w:eastAsia="fr-FR"/>
      </w:rPr>
      <w:drawing>
        <wp:anchor distT="0" distB="0" distL="114300" distR="114300" simplePos="0" relativeHeight="251657216" behindDoc="1" locked="0" layoutInCell="1" allowOverlap="1" wp14:anchorId="320EFB48" wp14:editId="03CACF1A">
          <wp:simplePos x="0" y="0"/>
          <wp:positionH relativeFrom="column">
            <wp:posOffset>-142240</wp:posOffset>
          </wp:positionH>
          <wp:positionV relativeFrom="paragraph">
            <wp:posOffset>1270</wp:posOffset>
          </wp:positionV>
          <wp:extent cx="1714500" cy="881380"/>
          <wp:effectExtent l="0" t="0" r="0" b="0"/>
          <wp:wrapSquare wrapText="bothSides"/>
          <wp:docPr id="6" name="Image 6"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BB">
      <w:rPr>
        <w:rFonts w:cs="Arial"/>
        <w:b/>
        <w:sz w:val="24"/>
      </w:rPr>
      <w:t>INTERGOVERNMENTAL OCEANOGRAPHIC COMMISSION</w:t>
    </w:r>
  </w:p>
  <w:p w14:paraId="008EAC8B" w14:textId="77777777" w:rsidR="003821AE" w:rsidRPr="003561BE" w:rsidRDefault="003821A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sidRPr="003561BE">
      <w:rPr>
        <w:rFonts w:cs="Arial"/>
        <w:b/>
        <w:bCs/>
        <w:sz w:val="24"/>
      </w:rPr>
      <w:t>(of UNESCO)</w:t>
    </w:r>
  </w:p>
  <w:p w14:paraId="7C7E02C5" w14:textId="77777777" w:rsidR="003821AE" w:rsidRPr="005E544C" w:rsidRDefault="003821AE"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Cs w:val="22"/>
      </w:rPr>
    </w:pPr>
  </w:p>
  <w:p w14:paraId="093D3B34" w14:textId="77777777" w:rsidR="003821AE" w:rsidRPr="00294AD5" w:rsidRDefault="00684ADD" w:rsidP="00294AD5">
    <w:pPr>
      <w:tabs>
        <w:tab w:val="left" w:pos="-1440"/>
        <w:tab w:val="left" w:pos="-720"/>
        <w:tab w:val="left" w:pos="720"/>
        <w:tab w:val="left" w:pos="1420"/>
        <w:tab w:val="left" w:pos="2160"/>
        <w:tab w:val="left" w:pos="2880"/>
        <w:tab w:val="left" w:pos="3600"/>
        <w:tab w:val="left" w:pos="4320"/>
        <w:tab w:val="left" w:pos="5040"/>
        <w:tab w:val="left" w:pos="5523"/>
        <w:tab w:val="left" w:pos="6480"/>
      </w:tabs>
      <w:ind w:left="2772"/>
      <w:rPr>
        <w:rFonts w:cs="Arial"/>
        <w:b/>
        <w:sz w:val="24"/>
      </w:rPr>
    </w:pPr>
    <w:r>
      <w:rPr>
        <w:rFonts w:cs="Arial"/>
        <w:b/>
        <w:sz w:val="24"/>
      </w:rPr>
      <w:t>Thirtieth</w:t>
    </w:r>
    <w:r w:rsidR="003821AE" w:rsidRPr="00294AD5">
      <w:rPr>
        <w:rFonts w:cs="Arial"/>
        <w:b/>
        <w:sz w:val="24"/>
      </w:rPr>
      <w:t xml:space="preserve"> Session of the </w:t>
    </w:r>
    <w:r w:rsidR="003821AE">
      <w:rPr>
        <w:rFonts w:cs="Arial"/>
        <w:b/>
        <w:sz w:val="24"/>
      </w:rPr>
      <w:t>Assembly</w:t>
    </w:r>
  </w:p>
  <w:p w14:paraId="0D14EDAB" w14:textId="36990B81" w:rsidR="003821AE" w:rsidRPr="005E544C" w:rsidRDefault="003821AE" w:rsidP="00684ADD">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Cs/>
        <w:szCs w:val="22"/>
      </w:rPr>
    </w:pPr>
    <w:r w:rsidRPr="00294AD5">
      <w:rPr>
        <w:rFonts w:cs="Arial"/>
        <w:sz w:val="24"/>
      </w:rPr>
      <w:t xml:space="preserve">UNESCO, Paris, </w:t>
    </w:r>
    <w:r w:rsidR="00684ADD" w:rsidRPr="00684ADD">
      <w:rPr>
        <w:rFonts w:cs="Arial"/>
        <w:sz w:val="24"/>
      </w:rPr>
      <w:t>26 June</w:t>
    </w:r>
    <w:r w:rsidR="00AC6838">
      <w:rPr>
        <w:rFonts w:cs="Arial"/>
        <w:sz w:val="24"/>
      </w:rPr>
      <w:t>–</w:t>
    </w:r>
    <w:r w:rsidR="00684ADD" w:rsidRPr="00684ADD">
      <w:rPr>
        <w:rFonts w:cs="Arial"/>
        <w:sz w:val="24"/>
      </w:rPr>
      <w:t>4 July 2019</w:t>
    </w:r>
  </w:p>
  <w:p w14:paraId="76EE804D" w14:textId="77777777" w:rsidR="003821AE" w:rsidRPr="005E544C" w:rsidRDefault="003821AE" w:rsidP="00DF2FB9">
    <w:pPr>
      <w:jc w:val="center"/>
      <w:rPr>
        <w:rFonts w:cs="Arial"/>
        <w:szCs w:val="22"/>
      </w:rPr>
    </w:pPr>
  </w:p>
  <w:p w14:paraId="36BCF93E" w14:textId="77777777" w:rsidR="003821AE" w:rsidRDefault="003821AE" w:rsidP="00DF2FB9">
    <w:pPr>
      <w:jc w:val="center"/>
      <w:rPr>
        <w:rFonts w:cs="Arial"/>
        <w:szCs w:val="22"/>
      </w:rPr>
    </w:pPr>
  </w:p>
  <w:p w14:paraId="0AB28F53" w14:textId="77777777" w:rsidR="003821AE" w:rsidRDefault="003821AE" w:rsidP="00DF2FB9">
    <w:pPr>
      <w:jc w:val="center"/>
      <w:rPr>
        <w:rFonts w:cs="Arial"/>
        <w:szCs w:val="22"/>
      </w:rPr>
    </w:pPr>
  </w:p>
  <w:p w14:paraId="7F3127C8" w14:textId="77777777" w:rsidR="003821AE" w:rsidRDefault="003821AE" w:rsidP="00DF2FB9">
    <w:pPr>
      <w:jc w:val="center"/>
      <w:rPr>
        <w:rFonts w:cs="Arial"/>
        <w:szCs w:val="22"/>
      </w:rPr>
    </w:pPr>
  </w:p>
  <w:p w14:paraId="1BD0328C" w14:textId="77777777" w:rsidR="003821AE" w:rsidRPr="005E544C" w:rsidRDefault="003821AE" w:rsidP="00DF2FB9">
    <w:pPr>
      <w:jc w:val="center"/>
      <w:rPr>
        <w:rFonts w:cs="Arial"/>
        <w:szCs w:val="22"/>
      </w:rPr>
    </w:pPr>
  </w:p>
  <w:p w14:paraId="1D2FE753" w14:textId="77777777" w:rsidR="003821AE" w:rsidRPr="005E544C" w:rsidRDefault="003821AE" w:rsidP="00DF2FB9">
    <w:pPr>
      <w:jc w:val="center"/>
      <w:rPr>
        <w:rFonts w:cs="Arial"/>
        <w:szCs w:val="22"/>
      </w:rPr>
    </w:pPr>
  </w:p>
  <w:p w14:paraId="51CA130C" w14:textId="77777777" w:rsidR="003821AE" w:rsidRPr="008D2398" w:rsidRDefault="003821AE" w:rsidP="00DF2FB9">
    <w:pPr>
      <w:pStyle w:val="Heading7"/>
      <w:tabs>
        <w:tab w:val="right" w:pos="9540"/>
      </w:tabs>
      <w:rPr>
        <w:rFonts w:cs="Arial"/>
        <w:sz w:val="24"/>
        <w:u w:val="none"/>
      </w:rPr>
    </w:pPr>
    <w:r w:rsidRPr="00413F17">
      <w:rPr>
        <w:rFonts w:cs="Arial"/>
        <w:sz w:val="24"/>
      </w:rPr>
      <w:t>I</w:t>
    </w:r>
    <w:r w:rsidRPr="008D2398">
      <w:rPr>
        <w:rFonts w:cs="Arial"/>
        <w:sz w:val="24"/>
      </w:rPr>
      <w:t xml:space="preserve">tem </w:t>
    </w:r>
    <w:r w:rsidR="00684ADD">
      <w:rPr>
        <w:rFonts w:cs="Arial"/>
        <w:b/>
        <w:sz w:val="24"/>
      </w:rPr>
      <w:t>11</w:t>
    </w:r>
    <w:r>
      <w:rPr>
        <w:rFonts w:cs="Arial"/>
        <w:b/>
        <w:sz w:val="24"/>
      </w:rPr>
      <w:t>.</w:t>
    </w:r>
    <w:r w:rsidR="00684ADD">
      <w:rPr>
        <w:rFonts w:cs="Arial"/>
        <w:b/>
        <w:sz w:val="24"/>
      </w:rPr>
      <w:t>2</w:t>
    </w:r>
    <w:r w:rsidRPr="008D2398">
      <w:rPr>
        <w:rFonts w:cs="Arial"/>
        <w:sz w:val="24"/>
      </w:rPr>
      <w:t xml:space="preserve"> of the Provisional Agenda</w:t>
    </w:r>
  </w:p>
  <w:p w14:paraId="5049A087" w14:textId="77777777" w:rsidR="003821AE" w:rsidRPr="005E544C" w:rsidRDefault="003821AE" w:rsidP="00DF2FB9">
    <w:pPr>
      <w:rPr>
        <w:rFonts w:cs="Arial"/>
        <w:szCs w:val="22"/>
      </w:rPr>
    </w:pPr>
  </w:p>
  <w:p w14:paraId="33A04DD6" w14:textId="77777777" w:rsidR="003821AE" w:rsidRPr="005E544C" w:rsidRDefault="003821AE" w:rsidP="009D23CB">
    <w:pPr>
      <w:jc w:val="center"/>
      <w:rPr>
        <w:rFonts w:cs="Arial"/>
        <w:szCs w:val="22"/>
      </w:rPr>
    </w:pPr>
  </w:p>
  <w:p w14:paraId="75DEA9E8" w14:textId="5C76A33C" w:rsidR="003821AE" w:rsidRDefault="009D23CB" w:rsidP="009D23CB">
    <w:pPr>
      <w:pStyle w:val="Header"/>
      <w:jc w:val="center"/>
      <w:rPr>
        <w:rFonts w:cs="Arial"/>
        <w:b/>
        <w:bCs/>
        <w:caps/>
        <w:sz w:val="24"/>
      </w:rPr>
    </w:pPr>
    <w:r w:rsidRPr="009D23CB">
      <w:rPr>
        <w:rFonts w:cs="Arial"/>
        <w:b/>
        <w:bCs/>
        <w:caps/>
        <w:sz w:val="24"/>
      </w:rPr>
      <w:t xml:space="preserve">IOC’s Contribution to Ocean Literacy </w:t>
    </w:r>
    <w:r w:rsidR="00BB46E8">
      <w:rPr>
        <w:rFonts w:cs="Arial"/>
        <w:b/>
        <w:bCs/>
        <w:caps/>
        <w:sz w:val="24"/>
      </w:rPr>
      <w:br/>
    </w:r>
    <w:r w:rsidRPr="009D23CB">
      <w:rPr>
        <w:rFonts w:cs="Arial"/>
        <w:b/>
        <w:bCs/>
        <w:caps/>
        <w:sz w:val="24"/>
      </w:rPr>
      <w:t>in 2018–2021: Action Plan</w:t>
    </w:r>
  </w:p>
  <w:p w14:paraId="66495D39" w14:textId="77777777" w:rsidR="009D23CB" w:rsidRPr="005E544C" w:rsidRDefault="009D23CB">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8F29" w14:textId="40CB0679" w:rsidR="003821AE" w:rsidRPr="006842FA" w:rsidRDefault="003821AE" w:rsidP="00294AD5">
    <w:pPr>
      <w:pStyle w:val="Header"/>
      <w:tabs>
        <w:tab w:val="clear" w:pos="8306"/>
      </w:tabs>
      <w:rPr>
        <w:rFonts w:cs="Arial"/>
        <w:sz w:val="20"/>
        <w:szCs w:val="20"/>
      </w:rPr>
    </w:pPr>
    <w:r w:rsidRPr="008A6E5C">
      <w:rPr>
        <w:rFonts w:cs="Arial"/>
        <w:sz w:val="20"/>
        <w:szCs w:val="20"/>
      </w:rPr>
      <w:t>IOC</w:t>
    </w:r>
    <w:r w:rsidR="00684ADD">
      <w:rPr>
        <w:rFonts w:cs="Arial"/>
        <w:sz w:val="20"/>
        <w:szCs w:val="20"/>
      </w:rPr>
      <w:t>-XX</w:t>
    </w:r>
    <w:r>
      <w:rPr>
        <w:rFonts w:cs="Arial"/>
        <w:sz w:val="20"/>
        <w:szCs w:val="20"/>
      </w:rPr>
      <w:t>X</w:t>
    </w:r>
    <w:r w:rsidRPr="008A6E5C">
      <w:rPr>
        <w:rFonts w:cs="Arial"/>
        <w:sz w:val="20"/>
        <w:szCs w:val="20"/>
      </w:rPr>
      <w:t>/</w:t>
    </w:r>
    <w:r>
      <w:rPr>
        <w:rFonts w:cs="Arial"/>
        <w:sz w:val="20"/>
        <w:szCs w:val="20"/>
      </w:rPr>
      <w:t xml:space="preserve">2 Annex </w:t>
    </w:r>
    <w:r w:rsidR="008D0479">
      <w:rPr>
        <w:rFonts w:cs="Arial"/>
        <w:sz w:val="20"/>
        <w:szCs w:val="20"/>
      </w:rPr>
      <w:t>7</w:t>
    </w:r>
  </w:p>
  <w:p w14:paraId="5026CA05" w14:textId="713963A4" w:rsidR="003821AE" w:rsidRPr="006842FA" w:rsidRDefault="003821AE" w:rsidP="00746B89">
    <w:pPr>
      <w:pStyle w:val="Header"/>
      <w:tabs>
        <w:tab w:val="clear" w:pos="8306"/>
      </w:tabs>
      <w:rPr>
        <w:rFonts w:cs="Arial"/>
        <w:sz w:val="20"/>
        <w:szCs w:val="20"/>
      </w:rPr>
    </w:pPr>
    <w:r>
      <w:rPr>
        <w:rFonts w:cs="Arial"/>
        <w:sz w:val="20"/>
        <w:szCs w:val="20"/>
      </w:rPr>
      <w:t>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sidR="004629DF">
      <w:rPr>
        <w:rStyle w:val="PageNumber"/>
        <w:rFonts w:cs="Arial"/>
        <w:noProof/>
        <w:sz w:val="20"/>
        <w:szCs w:val="20"/>
      </w:rPr>
      <w:t>10</w:t>
    </w:r>
    <w:r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EB6F" w14:textId="5F3212A6" w:rsidR="003821AE" w:rsidRPr="007F751C" w:rsidRDefault="003821AE" w:rsidP="005F227A">
    <w:pPr>
      <w:pStyle w:val="Header"/>
      <w:tabs>
        <w:tab w:val="clear" w:pos="8306"/>
      </w:tabs>
      <w:ind w:left="7797"/>
      <w:rPr>
        <w:rFonts w:cs="Arial"/>
        <w:szCs w:val="22"/>
        <w:lang w:val="en-US"/>
      </w:rPr>
    </w:pPr>
    <w:r w:rsidRPr="007F751C">
      <w:rPr>
        <w:rFonts w:cs="Arial"/>
        <w:sz w:val="20"/>
        <w:szCs w:val="20"/>
        <w:lang w:val="en-US"/>
      </w:rPr>
      <w:t>I</w:t>
    </w:r>
    <w:r w:rsidR="00684ADD">
      <w:rPr>
        <w:rFonts w:cs="Arial"/>
        <w:sz w:val="20"/>
        <w:szCs w:val="20"/>
        <w:lang w:val="en-US"/>
      </w:rPr>
      <w:t>OC-XX</w:t>
    </w:r>
    <w:r w:rsidRPr="007F751C">
      <w:rPr>
        <w:rFonts w:cs="Arial"/>
        <w:sz w:val="20"/>
        <w:szCs w:val="20"/>
        <w:lang w:val="en-US"/>
      </w:rPr>
      <w:t xml:space="preserve">X/2 Annex </w:t>
    </w:r>
    <w:r w:rsidR="008D0479">
      <w:rPr>
        <w:rFonts w:cs="Arial"/>
        <w:sz w:val="20"/>
        <w:szCs w:val="20"/>
        <w:lang w:val="en-US"/>
      </w:rPr>
      <w:t>7</w:t>
    </w:r>
  </w:p>
  <w:p w14:paraId="0DC0C8E2" w14:textId="37FE1DC4" w:rsidR="003821AE" w:rsidRPr="007F751C" w:rsidRDefault="003821AE" w:rsidP="005F227A">
    <w:pPr>
      <w:pStyle w:val="Header"/>
      <w:tabs>
        <w:tab w:val="clear" w:pos="8306"/>
      </w:tabs>
      <w:ind w:left="7797"/>
      <w:rPr>
        <w:rFonts w:cs="Arial"/>
        <w:sz w:val="20"/>
        <w:szCs w:val="22"/>
        <w:lang w:val="en-US"/>
      </w:rPr>
    </w:pPr>
    <w:r w:rsidRPr="007F751C">
      <w:rPr>
        <w:rFonts w:cs="Arial"/>
        <w:sz w:val="20"/>
        <w:szCs w:val="22"/>
        <w:lang w:val="en-US"/>
      </w:rPr>
      <w:t>page </w:t>
    </w:r>
    <w:r w:rsidRPr="007F751C">
      <w:rPr>
        <w:rStyle w:val="PageNumber"/>
        <w:rFonts w:cs="Arial"/>
        <w:sz w:val="20"/>
        <w:szCs w:val="22"/>
        <w:lang w:val="en-US"/>
      </w:rPr>
      <w:fldChar w:fldCharType="begin"/>
    </w:r>
    <w:r w:rsidRPr="007F751C">
      <w:rPr>
        <w:rStyle w:val="PageNumber"/>
        <w:rFonts w:cs="Arial"/>
        <w:sz w:val="20"/>
        <w:szCs w:val="22"/>
        <w:lang w:val="en-US"/>
      </w:rPr>
      <w:instrText xml:space="preserve"> PAGE </w:instrText>
    </w:r>
    <w:r w:rsidRPr="007F751C">
      <w:rPr>
        <w:rStyle w:val="PageNumber"/>
        <w:rFonts w:cs="Arial"/>
        <w:sz w:val="20"/>
        <w:szCs w:val="22"/>
        <w:lang w:val="en-US"/>
      </w:rPr>
      <w:fldChar w:fldCharType="separate"/>
    </w:r>
    <w:r w:rsidR="004629DF">
      <w:rPr>
        <w:rStyle w:val="PageNumber"/>
        <w:rFonts w:cs="Arial"/>
        <w:noProof/>
        <w:sz w:val="20"/>
        <w:szCs w:val="22"/>
        <w:lang w:val="en-US"/>
      </w:rPr>
      <w:t>9</w:t>
    </w:r>
    <w:r w:rsidRPr="007F751C">
      <w:rPr>
        <w:rStyle w:val="PageNumber"/>
        <w:rFonts w:cs="Arial"/>
        <w:sz w:val="20"/>
        <w:szCs w:val="22"/>
        <w:lang w:val="en-US"/>
      </w:rPr>
      <w:fldChar w:fldCharType="end"/>
    </w:r>
  </w:p>
  <w:p w14:paraId="37E74B7C" w14:textId="77777777" w:rsidR="003821AE" w:rsidRPr="007F751C" w:rsidRDefault="003821AE" w:rsidP="005F227A">
    <w:pPr>
      <w:pStyle w:val="Header"/>
      <w:ind w:left="7797"/>
      <w:rPr>
        <w:rFonts w:cs="Arial"/>
        <w:sz w:val="20"/>
        <w:szCs w:val="22"/>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E1F2" w14:textId="47F41599" w:rsidR="003821AE" w:rsidRPr="00684ADD" w:rsidRDefault="003821AE" w:rsidP="004629DF">
    <w:pPr>
      <w:pStyle w:val="Header"/>
      <w:tabs>
        <w:tab w:val="clear" w:pos="8306"/>
        <w:tab w:val="left" w:pos="6663"/>
      </w:tabs>
      <w:ind w:right="140" w:firstLine="7655"/>
      <w:rPr>
        <w:rFonts w:cs="Arial"/>
        <w:sz w:val="20"/>
        <w:szCs w:val="20"/>
        <w:lang w:val="fr-FR"/>
      </w:rPr>
    </w:pPr>
    <w:r w:rsidRPr="00684ADD">
      <w:rPr>
        <w:rFonts w:cs="Arial"/>
        <w:sz w:val="20"/>
        <w:szCs w:val="20"/>
        <w:lang w:val="fr-FR"/>
      </w:rPr>
      <w:t>IOC</w:t>
    </w:r>
    <w:r w:rsidR="00684ADD">
      <w:rPr>
        <w:rFonts w:cs="Arial"/>
        <w:sz w:val="20"/>
        <w:szCs w:val="20"/>
        <w:lang w:val="fr-FR"/>
      </w:rPr>
      <w:t>-XX</w:t>
    </w:r>
    <w:r w:rsidRPr="00684ADD">
      <w:rPr>
        <w:rFonts w:cs="Arial"/>
        <w:sz w:val="20"/>
        <w:szCs w:val="20"/>
        <w:lang w:val="fr-FR"/>
      </w:rPr>
      <w:t xml:space="preserve">X/2 Annex </w:t>
    </w:r>
    <w:r w:rsidR="008D0479">
      <w:rPr>
        <w:rFonts w:cs="Arial"/>
        <w:sz w:val="20"/>
        <w:szCs w:val="20"/>
        <w:lang w:val="fr-FR"/>
      </w:rPr>
      <w:t>7</w:t>
    </w:r>
  </w:p>
  <w:p w14:paraId="0BE7DBF5" w14:textId="074B1569" w:rsidR="003821AE" w:rsidRPr="00FC2521" w:rsidRDefault="00A735E5" w:rsidP="004629DF">
    <w:pPr>
      <w:pStyle w:val="Header"/>
      <w:tabs>
        <w:tab w:val="clear" w:pos="8306"/>
      </w:tabs>
      <w:ind w:firstLine="7655"/>
      <w:rPr>
        <w:rFonts w:cs="Arial"/>
        <w:sz w:val="20"/>
        <w:szCs w:val="22"/>
        <w:lang w:val="fr-FR"/>
      </w:rPr>
    </w:pPr>
    <w:r>
      <w:rPr>
        <w:rFonts w:cs="Arial"/>
        <w:sz w:val="20"/>
        <w:szCs w:val="22"/>
        <w:lang w:val="fr-FR"/>
      </w:rPr>
      <w:t>p</w:t>
    </w:r>
    <w:r w:rsidR="003821AE" w:rsidRPr="00FC2521">
      <w:rPr>
        <w:rFonts w:cs="Arial"/>
        <w:sz w:val="20"/>
        <w:szCs w:val="22"/>
        <w:lang w:val="fr-FR"/>
      </w:rPr>
      <w:t>age </w:t>
    </w:r>
    <w:r w:rsidR="003821AE" w:rsidRPr="00FC2521">
      <w:rPr>
        <w:rStyle w:val="PageNumber"/>
        <w:rFonts w:cs="Arial"/>
        <w:sz w:val="20"/>
        <w:szCs w:val="22"/>
      </w:rPr>
      <w:fldChar w:fldCharType="begin"/>
    </w:r>
    <w:r w:rsidR="003821AE" w:rsidRPr="00FC2521">
      <w:rPr>
        <w:rStyle w:val="PageNumber"/>
        <w:rFonts w:cs="Arial"/>
        <w:sz w:val="20"/>
        <w:szCs w:val="22"/>
        <w:lang w:val="fr-FR"/>
      </w:rPr>
      <w:instrText xml:space="preserve"> PAGE </w:instrText>
    </w:r>
    <w:r w:rsidR="003821AE" w:rsidRPr="00FC2521">
      <w:rPr>
        <w:rStyle w:val="PageNumber"/>
        <w:rFonts w:cs="Arial"/>
        <w:sz w:val="20"/>
        <w:szCs w:val="22"/>
      </w:rPr>
      <w:fldChar w:fldCharType="separate"/>
    </w:r>
    <w:r w:rsidR="004629DF">
      <w:rPr>
        <w:rStyle w:val="PageNumber"/>
        <w:rFonts w:cs="Arial"/>
        <w:noProof/>
        <w:sz w:val="20"/>
        <w:szCs w:val="22"/>
        <w:lang w:val="fr-FR"/>
      </w:rPr>
      <w:t>3</w:t>
    </w:r>
    <w:r w:rsidR="003821AE" w:rsidRPr="00FC2521">
      <w:rPr>
        <w:rStyle w:val="PageNumber"/>
        <w:rFonts w:cs="Arial"/>
        <w:sz w:val="20"/>
        <w:szCs w:val="22"/>
      </w:rPr>
      <w:fldChar w:fldCharType="end"/>
    </w:r>
  </w:p>
  <w:p w14:paraId="58EDEDB7" w14:textId="77777777" w:rsidR="003821AE" w:rsidRPr="00684ADD" w:rsidRDefault="003821AE" w:rsidP="0080288C">
    <w:pPr>
      <w:pStyle w:val="Header"/>
      <w:ind w:right="140"/>
      <w:jc w:val="right"/>
      <w:rPr>
        <w:rFonts w:cs="Arial"/>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751DB"/>
    <w:multiLevelType w:val="multilevel"/>
    <w:tmpl w:val="785AA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98B74D5"/>
    <w:multiLevelType w:val="multilevel"/>
    <w:tmpl w:val="6860867A"/>
    <w:lvl w:ilvl="0">
      <w:start w:val="1"/>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2E122FCE"/>
    <w:multiLevelType w:val="multilevel"/>
    <w:tmpl w:val="4F9099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419654BA"/>
    <w:multiLevelType w:val="hybridMultilevel"/>
    <w:tmpl w:val="DC68194A"/>
    <w:lvl w:ilvl="0" w:tplc="167CE86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346D7"/>
    <w:multiLevelType w:val="hybridMultilevel"/>
    <w:tmpl w:val="9218342E"/>
    <w:lvl w:ilvl="0" w:tplc="0409000F">
      <w:start w:val="1"/>
      <w:numFmt w:val="decimal"/>
      <w:lvlText w:val="%1."/>
      <w:lvlJc w:val="left"/>
      <w:pPr>
        <w:ind w:left="720" w:hanging="360"/>
      </w:pPr>
    </w:lvl>
    <w:lvl w:ilvl="1" w:tplc="20189AE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E5D85"/>
    <w:multiLevelType w:val="hybridMultilevel"/>
    <w:tmpl w:val="E942443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15:restartNumberingAfterBreak="0">
    <w:nsid w:val="6DA773CC"/>
    <w:multiLevelType w:val="multilevel"/>
    <w:tmpl w:val="6860867A"/>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77FE2A56"/>
    <w:multiLevelType w:val="hybridMultilevel"/>
    <w:tmpl w:val="7A242C56"/>
    <w:lvl w:ilvl="0" w:tplc="E174E4D6">
      <w:start w:val="1"/>
      <w:numFmt w:val="decimal"/>
      <w:pStyle w:val="ListParagraph"/>
      <w:lvlText w:val="%1."/>
      <w:lvlJc w:val="left"/>
      <w:pPr>
        <w:ind w:left="9716"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7A862FBA"/>
    <w:multiLevelType w:val="hybridMultilevel"/>
    <w:tmpl w:val="4D24EA00"/>
    <w:lvl w:ilvl="0" w:tplc="DF94C144">
      <w:start w:val="1"/>
      <w:numFmt w:val="lowerRoman"/>
      <w:lvlText w:val="(%1)"/>
      <w:lvlJc w:val="left"/>
      <w:pPr>
        <w:ind w:left="720" w:hanging="360"/>
      </w:pPr>
      <w:rPr>
        <w:rFonts w:hint="default"/>
      </w:rPr>
    </w:lvl>
    <w:lvl w:ilvl="1" w:tplc="DF94C14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0"/>
    <w:lvlOverride w:ilvl="0">
      <w:startOverride w:val="1"/>
    </w:lvlOverride>
  </w:num>
  <w:num w:numId="5">
    <w:abstractNumId w:val="8"/>
  </w:num>
  <w:num w:numId="6">
    <w:abstractNumId w:val="0"/>
    <w:lvlOverride w:ilvl="0">
      <w:startOverride w:val="1"/>
    </w:lvlOverride>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2"/>
  </w:num>
  <w:num w:numId="22">
    <w:abstractNumId w:val="4"/>
  </w:num>
  <w:num w:numId="23">
    <w:abstractNumId w:val="9"/>
  </w:num>
  <w:num w:numId="24">
    <w:abstractNumId w:val="3"/>
  </w:num>
  <w:num w:numId="25">
    <w:abstractNumId w:val="7"/>
  </w:num>
  <w:num w:numId="26">
    <w:abstractNumId w:val="6"/>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1"/>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86"/>
    <w:rsid w:val="00003B31"/>
    <w:rsid w:val="00005C82"/>
    <w:rsid w:val="00010BBB"/>
    <w:rsid w:val="00020AA1"/>
    <w:rsid w:val="00077453"/>
    <w:rsid w:val="00085D6A"/>
    <w:rsid w:val="00094E0F"/>
    <w:rsid w:val="000C422A"/>
    <w:rsid w:val="000F0254"/>
    <w:rsid w:val="00116FAC"/>
    <w:rsid w:val="00123719"/>
    <w:rsid w:val="001241D7"/>
    <w:rsid w:val="001311E6"/>
    <w:rsid w:val="00137E97"/>
    <w:rsid w:val="001448C4"/>
    <w:rsid w:val="00150702"/>
    <w:rsid w:val="00155393"/>
    <w:rsid w:val="00167158"/>
    <w:rsid w:val="00177572"/>
    <w:rsid w:val="00196052"/>
    <w:rsid w:val="001B3B24"/>
    <w:rsid w:val="001C6455"/>
    <w:rsid w:val="001D559D"/>
    <w:rsid w:val="0021210D"/>
    <w:rsid w:val="0028407E"/>
    <w:rsid w:val="00294AD5"/>
    <w:rsid w:val="0029603C"/>
    <w:rsid w:val="002A6478"/>
    <w:rsid w:val="002B4C4C"/>
    <w:rsid w:val="002C61F9"/>
    <w:rsid w:val="002C7DE3"/>
    <w:rsid w:val="002E0859"/>
    <w:rsid w:val="0034156B"/>
    <w:rsid w:val="00355412"/>
    <w:rsid w:val="003561BE"/>
    <w:rsid w:val="00356805"/>
    <w:rsid w:val="003661BC"/>
    <w:rsid w:val="00375CB0"/>
    <w:rsid w:val="003773E5"/>
    <w:rsid w:val="003805F5"/>
    <w:rsid w:val="003821AE"/>
    <w:rsid w:val="00390887"/>
    <w:rsid w:val="003915D0"/>
    <w:rsid w:val="00393439"/>
    <w:rsid w:val="003A2858"/>
    <w:rsid w:val="003A7860"/>
    <w:rsid w:val="003B1671"/>
    <w:rsid w:val="003B40B5"/>
    <w:rsid w:val="003B69D6"/>
    <w:rsid w:val="003C70DB"/>
    <w:rsid w:val="003D3711"/>
    <w:rsid w:val="003F55CF"/>
    <w:rsid w:val="003F7186"/>
    <w:rsid w:val="004031FB"/>
    <w:rsid w:val="00406E03"/>
    <w:rsid w:val="00413F17"/>
    <w:rsid w:val="00417319"/>
    <w:rsid w:val="00424DE6"/>
    <w:rsid w:val="00431DB6"/>
    <w:rsid w:val="004529B8"/>
    <w:rsid w:val="004629DF"/>
    <w:rsid w:val="00467E3F"/>
    <w:rsid w:val="004707A4"/>
    <w:rsid w:val="00490F1D"/>
    <w:rsid w:val="004A135F"/>
    <w:rsid w:val="004B499D"/>
    <w:rsid w:val="004C1625"/>
    <w:rsid w:val="004E6C9A"/>
    <w:rsid w:val="004F675E"/>
    <w:rsid w:val="004F6CB2"/>
    <w:rsid w:val="004F7D6C"/>
    <w:rsid w:val="00530CE1"/>
    <w:rsid w:val="00545800"/>
    <w:rsid w:val="00555EDB"/>
    <w:rsid w:val="00570856"/>
    <w:rsid w:val="00583BA4"/>
    <w:rsid w:val="00594808"/>
    <w:rsid w:val="005C7A36"/>
    <w:rsid w:val="005C7D76"/>
    <w:rsid w:val="005D2BCD"/>
    <w:rsid w:val="005D2D2D"/>
    <w:rsid w:val="005E544C"/>
    <w:rsid w:val="005F227A"/>
    <w:rsid w:val="006110DA"/>
    <w:rsid w:val="00633EA5"/>
    <w:rsid w:val="00635425"/>
    <w:rsid w:val="006671FD"/>
    <w:rsid w:val="006842FA"/>
    <w:rsid w:val="00684ADD"/>
    <w:rsid w:val="0068682C"/>
    <w:rsid w:val="00686AD2"/>
    <w:rsid w:val="00690A0C"/>
    <w:rsid w:val="00690FD2"/>
    <w:rsid w:val="00693199"/>
    <w:rsid w:val="0069614B"/>
    <w:rsid w:val="006972D0"/>
    <w:rsid w:val="006B4B95"/>
    <w:rsid w:val="006C18D9"/>
    <w:rsid w:val="006C6449"/>
    <w:rsid w:val="00737A18"/>
    <w:rsid w:val="00746B89"/>
    <w:rsid w:val="00763BC1"/>
    <w:rsid w:val="007728B5"/>
    <w:rsid w:val="00791108"/>
    <w:rsid w:val="0079212B"/>
    <w:rsid w:val="0079370B"/>
    <w:rsid w:val="00795146"/>
    <w:rsid w:val="007A6D07"/>
    <w:rsid w:val="007B04DD"/>
    <w:rsid w:val="007B0DA3"/>
    <w:rsid w:val="007B23FD"/>
    <w:rsid w:val="007E0933"/>
    <w:rsid w:val="007F7518"/>
    <w:rsid w:val="007F751C"/>
    <w:rsid w:val="0080288C"/>
    <w:rsid w:val="008048D2"/>
    <w:rsid w:val="0081004E"/>
    <w:rsid w:val="00815172"/>
    <w:rsid w:val="008451D4"/>
    <w:rsid w:val="00853565"/>
    <w:rsid w:val="008619A8"/>
    <w:rsid w:val="0088446C"/>
    <w:rsid w:val="0089433B"/>
    <w:rsid w:val="008A6E5C"/>
    <w:rsid w:val="008B384B"/>
    <w:rsid w:val="008D0479"/>
    <w:rsid w:val="008D2398"/>
    <w:rsid w:val="008E768A"/>
    <w:rsid w:val="008F0F81"/>
    <w:rsid w:val="008F6942"/>
    <w:rsid w:val="009026D3"/>
    <w:rsid w:val="00957A3B"/>
    <w:rsid w:val="009638B6"/>
    <w:rsid w:val="00982EED"/>
    <w:rsid w:val="0098661D"/>
    <w:rsid w:val="00993CA4"/>
    <w:rsid w:val="009B5B92"/>
    <w:rsid w:val="009B63AB"/>
    <w:rsid w:val="009C0A89"/>
    <w:rsid w:val="009C15B1"/>
    <w:rsid w:val="009D23CB"/>
    <w:rsid w:val="009D34E3"/>
    <w:rsid w:val="009E6A03"/>
    <w:rsid w:val="009F3A67"/>
    <w:rsid w:val="009F6729"/>
    <w:rsid w:val="009F7769"/>
    <w:rsid w:val="00A11697"/>
    <w:rsid w:val="00A24AA3"/>
    <w:rsid w:val="00A25BC8"/>
    <w:rsid w:val="00A276BB"/>
    <w:rsid w:val="00A46383"/>
    <w:rsid w:val="00A735E5"/>
    <w:rsid w:val="00AC6838"/>
    <w:rsid w:val="00AD3D55"/>
    <w:rsid w:val="00AE26EF"/>
    <w:rsid w:val="00B15DC9"/>
    <w:rsid w:val="00B17F46"/>
    <w:rsid w:val="00B67362"/>
    <w:rsid w:val="00B722DE"/>
    <w:rsid w:val="00B83068"/>
    <w:rsid w:val="00B945FC"/>
    <w:rsid w:val="00BB46E8"/>
    <w:rsid w:val="00BC58BA"/>
    <w:rsid w:val="00BD6603"/>
    <w:rsid w:val="00BF069C"/>
    <w:rsid w:val="00BF3835"/>
    <w:rsid w:val="00C1002D"/>
    <w:rsid w:val="00C20A48"/>
    <w:rsid w:val="00C2635E"/>
    <w:rsid w:val="00C31E35"/>
    <w:rsid w:val="00C3684D"/>
    <w:rsid w:val="00C4032B"/>
    <w:rsid w:val="00C46BA9"/>
    <w:rsid w:val="00C54648"/>
    <w:rsid w:val="00C6486C"/>
    <w:rsid w:val="00C648D3"/>
    <w:rsid w:val="00C74780"/>
    <w:rsid w:val="00C75B02"/>
    <w:rsid w:val="00C77152"/>
    <w:rsid w:val="00C802AD"/>
    <w:rsid w:val="00C845C2"/>
    <w:rsid w:val="00C962F0"/>
    <w:rsid w:val="00CC1086"/>
    <w:rsid w:val="00CC7622"/>
    <w:rsid w:val="00CC7CD2"/>
    <w:rsid w:val="00CE3CF7"/>
    <w:rsid w:val="00D013ED"/>
    <w:rsid w:val="00D14EB6"/>
    <w:rsid w:val="00D36BDC"/>
    <w:rsid w:val="00D5049E"/>
    <w:rsid w:val="00D526D9"/>
    <w:rsid w:val="00D55FEC"/>
    <w:rsid w:val="00D872D3"/>
    <w:rsid w:val="00DC1D1B"/>
    <w:rsid w:val="00DC2A4C"/>
    <w:rsid w:val="00DC702F"/>
    <w:rsid w:val="00DD0880"/>
    <w:rsid w:val="00DE398C"/>
    <w:rsid w:val="00DE4430"/>
    <w:rsid w:val="00DE6C21"/>
    <w:rsid w:val="00DF2FB9"/>
    <w:rsid w:val="00E1044D"/>
    <w:rsid w:val="00E14C10"/>
    <w:rsid w:val="00E445D2"/>
    <w:rsid w:val="00E47B26"/>
    <w:rsid w:val="00E63DEF"/>
    <w:rsid w:val="00E64936"/>
    <w:rsid w:val="00EE0542"/>
    <w:rsid w:val="00F10ED6"/>
    <w:rsid w:val="00F20AFB"/>
    <w:rsid w:val="00F463F2"/>
    <w:rsid w:val="00F52DD1"/>
    <w:rsid w:val="00F644D2"/>
    <w:rsid w:val="00F7054D"/>
    <w:rsid w:val="00F749FE"/>
    <w:rsid w:val="00F8186D"/>
    <w:rsid w:val="00F83163"/>
    <w:rsid w:val="00F92966"/>
    <w:rsid w:val="00F936C4"/>
    <w:rsid w:val="00FA1471"/>
    <w:rsid w:val="00FB5FA6"/>
    <w:rsid w:val="00FC0350"/>
    <w:rsid w:val="00FC2521"/>
    <w:rsid w:val="00FC2875"/>
    <w:rsid w:val="00FF3F9E"/>
    <w:rsid w:val="00FF5B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677D909"/>
  <w15:docId w15:val="{976C1D20-6321-4F0E-B88A-DD53C5C2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431DB6"/>
    <w:pPr>
      <w:tabs>
        <w:tab w:val="clear" w:pos="567"/>
        <w:tab w:val="left" w:pos="709"/>
      </w:tabs>
      <w:jc w:val="center"/>
    </w:pPr>
    <w:rPr>
      <w:rFonts w:eastAsia="Arial Unicode MS"/>
      <w:b/>
      <w:szCs w:val="22"/>
      <w:lang w:val="en-US"/>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431DB6"/>
    <w:rPr>
      <w:rFonts w:ascii="Arial" w:eastAsia="Arial Unicode MS" w:hAnsi="Arial"/>
      <w:b/>
      <w:snapToGrid w:val="0"/>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paragraph" w:styleId="ListParagraph">
    <w:name w:val="List Paragraph"/>
    <w:basedOn w:val="Normal"/>
    <w:uiPriority w:val="34"/>
    <w:qFormat/>
    <w:rsid w:val="00D526D9"/>
    <w:pPr>
      <w:numPr>
        <w:numId w:val="7"/>
      </w:numPr>
      <w:tabs>
        <w:tab w:val="clear" w:pos="567"/>
        <w:tab w:val="left" w:pos="720"/>
      </w:tabs>
      <w:spacing w:after="240"/>
    </w:pPr>
    <w:rPr>
      <w:rFonts w:eastAsiaTheme="minorHAnsi" w:hAnsiTheme="minorHAnsi" w:cstheme="minorBidi"/>
      <w:snapToGrid/>
      <w:szCs w:val="22"/>
      <w:lang w:val="es-AR"/>
    </w:rPr>
  </w:style>
  <w:style w:type="paragraph" w:styleId="NoSpacing">
    <w:name w:val="No Spacing"/>
    <w:uiPriority w:val="1"/>
    <w:qFormat/>
    <w:rsid w:val="00FF3F9E"/>
    <w:rPr>
      <w:rFonts w:asciiTheme="minorHAnsi" w:eastAsiaTheme="minorHAnsi" w:hAnsiTheme="minorHAnsi" w:cstheme="minorBidi"/>
      <w:sz w:val="22"/>
      <w:szCs w:val="22"/>
      <w:lang w:val="es-AR" w:eastAsia="en-US"/>
    </w:rPr>
  </w:style>
  <w:style w:type="table" w:styleId="TableGrid">
    <w:name w:val="Table Grid"/>
    <w:basedOn w:val="TableNormal"/>
    <w:uiPriority w:val="39"/>
    <w:rsid w:val="0098661D"/>
    <w:rPr>
      <w:rFonts w:asciiTheme="minorHAnsi" w:eastAsiaTheme="minorHAnsi" w:hAnsiTheme="minorHAnsi" w:cstheme="minorBid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15172"/>
    <w:pPr>
      <w:spacing w:after="200"/>
    </w:pPr>
    <w:rPr>
      <w:i/>
      <w:iCs/>
      <w:color w:val="1F497D" w:themeColor="text2"/>
      <w:sz w:val="18"/>
      <w:szCs w:val="18"/>
    </w:rPr>
  </w:style>
  <w:style w:type="character" w:styleId="CommentReference">
    <w:name w:val="annotation reference"/>
    <w:basedOn w:val="DefaultParagraphFont"/>
    <w:semiHidden/>
    <w:unhideWhenUsed/>
    <w:rsid w:val="0028407E"/>
    <w:rPr>
      <w:sz w:val="16"/>
      <w:szCs w:val="16"/>
    </w:rPr>
  </w:style>
  <w:style w:type="paragraph" w:styleId="CommentText">
    <w:name w:val="annotation text"/>
    <w:basedOn w:val="Normal"/>
    <w:link w:val="CommentTextChar"/>
    <w:semiHidden/>
    <w:unhideWhenUsed/>
    <w:rsid w:val="0028407E"/>
    <w:rPr>
      <w:sz w:val="20"/>
      <w:szCs w:val="20"/>
    </w:rPr>
  </w:style>
  <w:style w:type="character" w:customStyle="1" w:styleId="CommentTextChar">
    <w:name w:val="Comment Text Char"/>
    <w:basedOn w:val="DefaultParagraphFont"/>
    <w:link w:val="CommentText"/>
    <w:semiHidden/>
    <w:rsid w:val="0028407E"/>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28407E"/>
    <w:rPr>
      <w:b/>
      <w:bCs/>
    </w:rPr>
  </w:style>
  <w:style w:type="character" w:customStyle="1" w:styleId="CommentSubjectChar">
    <w:name w:val="Comment Subject Char"/>
    <w:basedOn w:val="CommentTextChar"/>
    <w:link w:val="CommentSubject"/>
    <w:semiHidden/>
    <w:rsid w:val="0028407E"/>
    <w:rPr>
      <w:rFonts w:ascii="Arial" w:hAnsi="Arial"/>
      <w:b/>
      <w:bCs/>
      <w:snapToGrid w:val="0"/>
      <w:lang w:val="en-GB" w:eastAsia="en-US"/>
    </w:rPr>
  </w:style>
  <w:style w:type="paragraph" w:styleId="BalloonText">
    <w:name w:val="Balloon Text"/>
    <w:basedOn w:val="Normal"/>
    <w:link w:val="BalloonTextChar"/>
    <w:semiHidden/>
    <w:unhideWhenUsed/>
    <w:rsid w:val="0028407E"/>
    <w:rPr>
      <w:rFonts w:ascii="Tahoma" w:hAnsi="Tahoma" w:cs="Tahoma"/>
      <w:sz w:val="16"/>
      <w:szCs w:val="16"/>
    </w:rPr>
  </w:style>
  <w:style w:type="character" w:customStyle="1" w:styleId="BalloonTextChar">
    <w:name w:val="Balloon Text Char"/>
    <w:basedOn w:val="DefaultParagraphFont"/>
    <w:link w:val="BalloonText"/>
    <w:semiHidden/>
    <w:rsid w:val="0028407E"/>
    <w:rPr>
      <w:rFonts w:ascii="Tahoma" w:hAnsi="Tahoma" w:cs="Tahoma"/>
      <w:snapToGrid w:val="0"/>
      <w:sz w:val="16"/>
      <w:szCs w:val="16"/>
      <w:lang w:val="en-GB" w:eastAsia="en-US"/>
    </w:rPr>
  </w:style>
  <w:style w:type="paragraph" w:styleId="NormalWeb">
    <w:name w:val="Normal (Web)"/>
    <w:basedOn w:val="Normal"/>
    <w:uiPriority w:val="99"/>
    <w:unhideWhenUsed/>
    <w:rsid w:val="003B1671"/>
    <w:pPr>
      <w:tabs>
        <w:tab w:val="clear" w:pos="567"/>
      </w:tabs>
      <w:snapToGrid/>
      <w:spacing w:before="100" w:beforeAutospacing="1" w:after="100" w:afterAutospacing="1"/>
    </w:pPr>
    <w:rPr>
      <w:rFonts w:ascii="Times New Roman" w:hAnsi="Times New Roman"/>
      <w:snapToGrid/>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37">
      <w:bodyDiv w:val="1"/>
      <w:marLeft w:val="0"/>
      <w:marRight w:val="0"/>
      <w:marTop w:val="0"/>
      <w:marBottom w:val="0"/>
      <w:divBdr>
        <w:top w:val="none" w:sz="0" w:space="0" w:color="auto"/>
        <w:left w:val="none" w:sz="0" w:space="0" w:color="auto"/>
        <w:bottom w:val="none" w:sz="0" w:space="0" w:color="auto"/>
        <w:right w:val="none" w:sz="0" w:space="0" w:color="auto"/>
      </w:divBdr>
    </w:div>
    <w:div w:id="15423839">
      <w:bodyDiv w:val="1"/>
      <w:marLeft w:val="0"/>
      <w:marRight w:val="0"/>
      <w:marTop w:val="0"/>
      <w:marBottom w:val="0"/>
      <w:divBdr>
        <w:top w:val="none" w:sz="0" w:space="0" w:color="auto"/>
        <w:left w:val="none" w:sz="0" w:space="0" w:color="auto"/>
        <w:bottom w:val="none" w:sz="0" w:space="0" w:color="auto"/>
        <w:right w:val="none" w:sz="0" w:space="0" w:color="auto"/>
      </w:divBdr>
    </w:div>
    <w:div w:id="45301996">
      <w:bodyDiv w:val="1"/>
      <w:marLeft w:val="0"/>
      <w:marRight w:val="0"/>
      <w:marTop w:val="0"/>
      <w:marBottom w:val="0"/>
      <w:divBdr>
        <w:top w:val="none" w:sz="0" w:space="0" w:color="auto"/>
        <w:left w:val="none" w:sz="0" w:space="0" w:color="auto"/>
        <w:bottom w:val="none" w:sz="0" w:space="0" w:color="auto"/>
        <w:right w:val="none" w:sz="0" w:space="0" w:color="auto"/>
      </w:divBdr>
    </w:div>
    <w:div w:id="94641424">
      <w:bodyDiv w:val="1"/>
      <w:marLeft w:val="0"/>
      <w:marRight w:val="0"/>
      <w:marTop w:val="0"/>
      <w:marBottom w:val="0"/>
      <w:divBdr>
        <w:top w:val="none" w:sz="0" w:space="0" w:color="auto"/>
        <w:left w:val="none" w:sz="0" w:space="0" w:color="auto"/>
        <w:bottom w:val="none" w:sz="0" w:space="0" w:color="auto"/>
        <w:right w:val="none" w:sz="0" w:space="0" w:color="auto"/>
      </w:divBdr>
    </w:div>
    <w:div w:id="244651274">
      <w:bodyDiv w:val="1"/>
      <w:marLeft w:val="0"/>
      <w:marRight w:val="0"/>
      <w:marTop w:val="0"/>
      <w:marBottom w:val="0"/>
      <w:divBdr>
        <w:top w:val="none" w:sz="0" w:space="0" w:color="auto"/>
        <w:left w:val="none" w:sz="0" w:space="0" w:color="auto"/>
        <w:bottom w:val="none" w:sz="0" w:space="0" w:color="auto"/>
        <w:right w:val="none" w:sz="0" w:space="0" w:color="auto"/>
      </w:divBdr>
    </w:div>
    <w:div w:id="257567349">
      <w:bodyDiv w:val="1"/>
      <w:marLeft w:val="0"/>
      <w:marRight w:val="0"/>
      <w:marTop w:val="0"/>
      <w:marBottom w:val="0"/>
      <w:divBdr>
        <w:top w:val="none" w:sz="0" w:space="0" w:color="auto"/>
        <w:left w:val="none" w:sz="0" w:space="0" w:color="auto"/>
        <w:bottom w:val="none" w:sz="0" w:space="0" w:color="auto"/>
        <w:right w:val="none" w:sz="0" w:space="0" w:color="auto"/>
      </w:divBdr>
    </w:div>
    <w:div w:id="365375834">
      <w:bodyDiv w:val="1"/>
      <w:marLeft w:val="0"/>
      <w:marRight w:val="0"/>
      <w:marTop w:val="0"/>
      <w:marBottom w:val="0"/>
      <w:divBdr>
        <w:top w:val="none" w:sz="0" w:space="0" w:color="auto"/>
        <w:left w:val="none" w:sz="0" w:space="0" w:color="auto"/>
        <w:bottom w:val="none" w:sz="0" w:space="0" w:color="auto"/>
        <w:right w:val="none" w:sz="0" w:space="0" w:color="auto"/>
      </w:divBdr>
    </w:div>
    <w:div w:id="485778160">
      <w:bodyDiv w:val="1"/>
      <w:marLeft w:val="0"/>
      <w:marRight w:val="0"/>
      <w:marTop w:val="0"/>
      <w:marBottom w:val="0"/>
      <w:divBdr>
        <w:top w:val="none" w:sz="0" w:space="0" w:color="auto"/>
        <w:left w:val="none" w:sz="0" w:space="0" w:color="auto"/>
        <w:bottom w:val="none" w:sz="0" w:space="0" w:color="auto"/>
        <w:right w:val="none" w:sz="0" w:space="0" w:color="auto"/>
      </w:divBdr>
    </w:div>
    <w:div w:id="600573120">
      <w:bodyDiv w:val="1"/>
      <w:marLeft w:val="0"/>
      <w:marRight w:val="0"/>
      <w:marTop w:val="0"/>
      <w:marBottom w:val="0"/>
      <w:divBdr>
        <w:top w:val="none" w:sz="0" w:space="0" w:color="auto"/>
        <w:left w:val="none" w:sz="0" w:space="0" w:color="auto"/>
        <w:bottom w:val="none" w:sz="0" w:space="0" w:color="auto"/>
        <w:right w:val="none" w:sz="0" w:space="0" w:color="auto"/>
      </w:divBdr>
    </w:div>
    <w:div w:id="1038512834">
      <w:bodyDiv w:val="1"/>
      <w:marLeft w:val="0"/>
      <w:marRight w:val="0"/>
      <w:marTop w:val="0"/>
      <w:marBottom w:val="0"/>
      <w:divBdr>
        <w:top w:val="none" w:sz="0" w:space="0" w:color="auto"/>
        <w:left w:val="none" w:sz="0" w:space="0" w:color="auto"/>
        <w:bottom w:val="none" w:sz="0" w:space="0" w:color="auto"/>
        <w:right w:val="none" w:sz="0" w:space="0" w:color="auto"/>
      </w:divBdr>
    </w:div>
    <w:div w:id="1104838228">
      <w:bodyDiv w:val="1"/>
      <w:marLeft w:val="0"/>
      <w:marRight w:val="0"/>
      <w:marTop w:val="0"/>
      <w:marBottom w:val="0"/>
      <w:divBdr>
        <w:top w:val="none" w:sz="0" w:space="0" w:color="auto"/>
        <w:left w:val="none" w:sz="0" w:space="0" w:color="auto"/>
        <w:bottom w:val="none" w:sz="0" w:space="0" w:color="auto"/>
        <w:right w:val="none" w:sz="0" w:space="0" w:color="auto"/>
      </w:divBdr>
    </w:div>
    <w:div w:id="1110510893">
      <w:bodyDiv w:val="1"/>
      <w:marLeft w:val="0"/>
      <w:marRight w:val="0"/>
      <w:marTop w:val="0"/>
      <w:marBottom w:val="0"/>
      <w:divBdr>
        <w:top w:val="none" w:sz="0" w:space="0" w:color="auto"/>
        <w:left w:val="none" w:sz="0" w:space="0" w:color="auto"/>
        <w:bottom w:val="none" w:sz="0" w:space="0" w:color="auto"/>
        <w:right w:val="none" w:sz="0" w:space="0" w:color="auto"/>
      </w:divBdr>
    </w:div>
    <w:div w:id="1170563997">
      <w:bodyDiv w:val="1"/>
      <w:marLeft w:val="0"/>
      <w:marRight w:val="0"/>
      <w:marTop w:val="0"/>
      <w:marBottom w:val="0"/>
      <w:divBdr>
        <w:top w:val="none" w:sz="0" w:space="0" w:color="auto"/>
        <w:left w:val="none" w:sz="0" w:space="0" w:color="auto"/>
        <w:bottom w:val="none" w:sz="0" w:space="0" w:color="auto"/>
        <w:right w:val="none" w:sz="0" w:space="0" w:color="auto"/>
      </w:divBdr>
    </w:div>
    <w:div w:id="1208108970">
      <w:bodyDiv w:val="1"/>
      <w:marLeft w:val="0"/>
      <w:marRight w:val="0"/>
      <w:marTop w:val="0"/>
      <w:marBottom w:val="0"/>
      <w:divBdr>
        <w:top w:val="none" w:sz="0" w:space="0" w:color="auto"/>
        <w:left w:val="none" w:sz="0" w:space="0" w:color="auto"/>
        <w:bottom w:val="none" w:sz="0" w:space="0" w:color="auto"/>
        <w:right w:val="none" w:sz="0" w:space="0" w:color="auto"/>
      </w:divBdr>
    </w:div>
    <w:div w:id="1241985610">
      <w:bodyDiv w:val="1"/>
      <w:marLeft w:val="0"/>
      <w:marRight w:val="0"/>
      <w:marTop w:val="0"/>
      <w:marBottom w:val="0"/>
      <w:divBdr>
        <w:top w:val="none" w:sz="0" w:space="0" w:color="auto"/>
        <w:left w:val="none" w:sz="0" w:space="0" w:color="auto"/>
        <w:bottom w:val="none" w:sz="0" w:space="0" w:color="auto"/>
        <w:right w:val="none" w:sz="0" w:space="0" w:color="auto"/>
      </w:divBdr>
    </w:div>
    <w:div w:id="1359085768">
      <w:bodyDiv w:val="1"/>
      <w:marLeft w:val="0"/>
      <w:marRight w:val="0"/>
      <w:marTop w:val="0"/>
      <w:marBottom w:val="0"/>
      <w:divBdr>
        <w:top w:val="none" w:sz="0" w:space="0" w:color="auto"/>
        <w:left w:val="none" w:sz="0" w:space="0" w:color="auto"/>
        <w:bottom w:val="none" w:sz="0" w:space="0" w:color="auto"/>
        <w:right w:val="none" w:sz="0" w:space="0" w:color="auto"/>
      </w:divBdr>
    </w:div>
    <w:div w:id="1383016421">
      <w:bodyDiv w:val="1"/>
      <w:marLeft w:val="0"/>
      <w:marRight w:val="0"/>
      <w:marTop w:val="0"/>
      <w:marBottom w:val="0"/>
      <w:divBdr>
        <w:top w:val="none" w:sz="0" w:space="0" w:color="auto"/>
        <w:left w:val="none" w:sz="0" w:space="0" w:color="auto"/>
        <w:bottom w:val="none" w:sz="0" w:space="0" w:color="auto"/>
        <w:right w:val="none" w:sz="0" w:space="0" w:color="auto"/>
      </w:divBdr>
    </w:div>
    <w:div w:id="14110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c-unesco.org/index.php?option=com_oe&amp;task=viewDocumentRecord&amp;docID=23402" TargetMode="External"/><Relationship Id="rId13" Type="http://schemas.openxmlformats.org/officeDocument/2006/relationships/hyperlink" Target="https://oceanconference.un.org/commitments/?id=15187" TargetMode="External"/><Relationship Id="rId18" Type="http://schemas.openxmlformats.org/officeDocument/2006/relationships/hyperlink" Target="http://www.seachangeproject.eu/images/SEACHANGE/SC_Results/D5.4.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unesdoc.unesco.org/ark:/48223/pf0000244047.locale=fr" TargetMode="External"/><Relationship Id="rId17" Type="http://schemas.openxmlformats.org/officeDocument/2006/relationships/hyperlink" Target="https://platform.europeanmoocs.eu/course_from_abc_to_abseas_ocean_li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eanliteracy.unesco.org/" TargetMode="External"/><Relationship Id="rId20" Type="http://schemas.openxmlformats.org/officeDocument/2006/relationships/hyperlink" Target="https://oceanschool.nf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esdoc.unesco.org/ark:/48223/pf0000260721"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tg24.sky.it/ambiente/sky-un-mare-da-salvare.html?intcmp=tg24_hottopic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nesdoc.unesco.org/ark:/48223/pf0000260721.locale=fr"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D6AC-59D7-4F43-93DB-2A3B66C9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3418</Words>
  <Characters>20640</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29th session: Global Ocean Science Report: Perspectives and Development</vt:lpstr>
      <vt:lpstr>IOC, 29th session: Global Ocean Science Report: Perspectives and Development</vt:lpstr>
    </vt:vector>
  </TitlesOfParts>
  <Company>UNESCO</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29th session: Global Ocean Science Report: Perspectives and Development</dc:title>
  <dc:subject>IOC-XXIX/2 ANNEX 10</dc:subject>
  <dc:creator>Boned, Patrice</dc:creator>
  <cp:keywords>1703.17E</cp:keywords>
  <dc:description/>
  <cp:lastModifiedBy>Boned, Patrice</cp:lastModifiedBy>
  <cp:revision>2</cp:revision>
  <cp:lastPrinted>2019-04-17T09:14:00Z</cp:lastPrinted>
  <dcterms:created xsi:type="dcterms:W3CDTF">2019-05-14T09:16:00Z</dcterms:created>
  <dcterms:modified xsi:type="dcterms:W3CDTF">2019-05-14T09:16:00Z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102537</vt:i4>
  </property>
  <property fmtid="{D5CDD505-2E9C-101B-9397-08002B2CF9AE}" pid="3" name="JobDMS">
    <vt:r8>1703.17</vt:r8>
  </property>
  <property fmtid="{D5CDD505-2E9C-101B-9397-08002B2CF9AE}" pid="4" name="Language">
    <vt:lpwstr>E</vt:lpwstr>
  </property>
</Properties>
</file>