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E97C63" w14:paraId="095CF96A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0EFAED" w14:textId="77777777" w:rsidR="00467E3F" w:rsidRPr="00963D6A" w:rsidRDefault="00B83068" w:rsidP="00853565">
            <w:pPr>
              <w:pStyle w:val="Marge"/>
              <w:jc w:val="center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963D6A">
              <w:rPr>
                <w:b/>
                <w:szCs w:val="22"/>
              </w:rPr>
              <w:t>Резюме</w:t>
            </w:r>
          </w:p>
          <w:p w14:paraId="6926DEB4" w14:textId="77777777" w:rsidR="002659F8" w:rsidRPr="00E97C63" w:rsidRDefault="00BA53D5" w:rsidP="00294AD5">
            <w:pPr>
              <w:pStyle w:val="Marge"/>
              <w:spacing w:after="120"/>
              <w:rPr>
                <w:rFonts w:cs="Arial"/>
                <w:szCs w:val="22"/>
              </w:rPr>
            </w:pPr>
            <w:r w:rsidRPr="00E97C63">
              <w:rPr>
                <w:szCs w:val="22"/>
              </w:rPr>
              <w:t>Исполнительный совет МОК в своем решении EC-XLIX/4.4, принятом на 49-й сессии (Париж, 7-10 июня 2016 г.), постановил учредить постоянную рабочую группу с задачей обеспечить сбор, обобщение и оценку информации о потребностях пользователей информационных продуктов ГЕБКО, а также изучить возможности их вклада в подготовку наборов данных и продуктов ГЕБКО.</w:t>
            </w:r>
          </w:p>
          <w:p w14:paraId="47BEC5C5" w14:textId="77777777" w:rsidR="002659F8" w:rsidRPr="00E97C63" w:rsidRDefault="00BA53D5" w:rsidP="00294AD5">
            <w:pPr>
              <w:pStyle w:val="Marge"/>
              <w:spacing w:after="120"/>
              <w:rPr>
                <w:rFonts w:cs="Arial"/>
                <w:szCs w:val="22"/>
              </w:rPr>
            </w:pPr>
            <w:r w:rsidRPr="00E97C63">
              <w:rPr>
                <w:szCs w:val="22"/>
              </w:rPr>
              <w:t>В настоящем документе представлены результаты обзора, проведенного указанной рабочей группой, которая была учреждена в 2017 г., а также рекомендации, предложенные для рассмотрения Исполнительным советом. Ответы, полученные в ходе опроса, который был проведен в межсессионный период, представляются в приложении только на английском языке.</w:t>
            </w:r>
          </w:p>
          <w:p w14:paraId="6D2D5C6C" w14:textId="77777777" w:rsidR="002659F8" w:rsidRPr="00E97C63" w:rsidRDefault="00253BD8" w:rsidP="00467E3F">
            <w:pPr>
              <w:pStyle w:val="Marge"/>
              <w:spacing w:after="120"/>
              <w:rPr>
                <w:rFonts w:cs="Arial"/>
                <w:szCs w:val="22"/>
              </w:rPr>
            </w:pPr>
            <w:r w:rsidRPr="00E97C63">
              <w:rPr>
                <w:szCs w:val="22"/>
              </w:rPr>
              <w:t>Финансовые и административные последствия отсутствуют.</w:t>
            </w:r>
          </w:p>
          <w:p w14:paraId="77AED637" w14:textId="631C77A2" w:rsidR="00737A18" w:rsidRPr="00E97C63" w:rsidRDefault="00413F17" w:rsidP="00324F75">
            <w:pPr>
              <w:pStyle w:val="Marge"/>
              <w:spacing w:after="120"/>
              <w:rPr>
                <w:rFonts w:cs="Arial"/>
                <w:szCs w:val="22"/>
              </w:rPr>
            </w:pPr>
            <w:r w:rsidRPr="00E97C63">
              <w:rPr>
                <w:szCs w:val="22"/>
                <w:u w:val="single"/>
              </w:rPr>
              <w:t>Предлагаемое решение</w:t>
            </w:r>
            <w:r w:rsidRPr="00E97C63">
              <w:rPr>
                <w:szCs w:val="22"/>
              </w:rPr>
              <w:t>: Исполнительному совету предлагается рассмотреть представленные в документе рекомендации в отношении дальнейших действий, а также проект решения, который приводится в документе о принятых и предлагаемых мерах (документ IOC/EC-LI/2 Prov.) под кодом EC-LI/DR.4.5.</w:t>
            </w:r>
          </w:p>
        </w:tc>
      </w:tr>
    </w:tbl>
    <w:p w14:paraId="4ED90DAE" w14:textId="77777777" w:rsidR="00746B89" w:rsidRPr="00E97C63" w:rsidRDefault="00746B89" w:rsidP="001B2FE2">
      <w:pPr>
        <w:pStyle w:val="Titre3"/>
      </w:pPr>
    </w:p>
    <w:p w14:paraId="77EEB28F" w14:textId="77777777" w:rsidR="00767257" w:rsidRPr="00E97C63" w:rsidRDefault="00767257" w:rsidP="00767257">
      <w:pPr>
        <w:pStyle w:val="Marge"/>
      </w:pPr>
    </w:p>
    <w:p w14:paraId="1B451CCD" w14:textId="77777777" w:rsidR="00767257" w:rsidRPr="00E97C63" w:rsidRDefault="00767257" w:rsidP="00767257">
      <w:pPr>
        <w:pStyle w:val="Marge"/>
        <w:sectPr w:rsidR="00767257" w:rsidRPr="00E97C63" w:rsidSect="003D5F0D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456E99E6" w14:textId="77777777" w:rsidR="00144684" w:rsidRPr="00E97C63" w:rsidRDefault="00144684" w:rsidP="001B2FE2">
      <w:pPr>
        <w:pStyle w:val="Titre3"/>
      </w:pPr>
      <w:r w:rsidRPr="00E97C63">
        <w:lastRenderedPageBreak/>
        <w:t>Введение</w:t>
      </w:r>
    </w:p>
    <w:p w14:paraId="3F12D396" w14:textId="182487DF" w:rsidR="00144684" w:rsidRPr="00E97C63" w:rsidRDefault="0045220A" w:rsidP="001B2FE2">
      <w:pPr>
        <w:pStyle w:val="COI"/>
      </w:pPr>
      <w:r w:rsidRPr="00E97C63">
        <w:t>Вышеупомянутый обзор был проведен постоянной рабочей группой по вопросам потребностей и вклада пользователей в продукт</w:t>
      </w:r>
      <w:r w:rsidR="00E97C63">
        <w:t>ы ГЕБКО в межсессионный период путем</w:t>
      </w:r>
      <w:r w:rsidRPr="00E97C63">
        <w:t xml:space="preserve"> распространения вопросника. Цели обзора состояли в следующем:</w:t>
      </w:r>
    </w:p>
    <w:p w14:paraId="504C02D3" w14:textId="65735271" w:rsidR="00324F75" w:rsidRPr="00E97C63" w:rsidRDefault="00535822" w:rsidP="00963D6A">
      <w:pPr>
        <w:pStyle w:val="Paragraphedeliste"/>
        <w:numPr>
          <w:ilvl w:val="0"/>
          <w:numId w:val="39"/>
        </w:numPr>
        <w:spacing w:after="240" w:line="240" w:lineRule="auto"/>
        <w:ind w:left="1134" w:hanging="567"/>
        <w:contextualSpacing w:val="0"/>
        <w:rPr>
          <w:rFonts w:ascii="Arial" w:hAnsi="Arial" w:cs="Arial"/>
        </w:rPr>
      </w:pPr>
      <w:r w:rsidRPr="00E97C63">
        <w:rPr>
          <w:rFonts w:ascii="Arial" w:hAnsi="Arial"/>
        </w:rPr>
        <w:t>сбор, обобщение и оценка информации относительно потребностей пользователей наборов данных и продуктов ГЕБКО, а также предъявляемых к этим данным и продуктам требований;</w:t>
      </w:r>
    </w:p>
    <w:p w14:paraId="0F15309F" w14:textId="053939A7" w:rsidR="00CD11B8" w:rsidRPr="00E97C63" w:rsidRDefault="00E97C63" w:rsidP="00963D6A">
      <w:pPr>
        <w:pStyle w:val="Paragraphedeliste"/>
        <w:numPr>
          <w:ilvl w:val="0"/>
          <w:numId w:val="39"/>
        </w:numPr>
        <w:spacing w:after="240" w:line="24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/>
        </w:rPr>
        <w:t>оказание содействия</w:t>
      </w:r>
      <w:r w:rsidR="00535822" w:rsidRPr="00E97C63">
        <w:rPr>
          <w:rFonts w:ascii="Arial" w:hAnsi="Arial"/>
        </w:rPr>
        <w:t xml:space="preserve"> и формулирование рекомендаций в отношении использования наборов данных и продуктов ГЕБКО через сообщества пользователей соответствующи</w:t>
      </w:r>
      <w:r>
        <w:rPr>
          <w:rFonts w:ascii="Arial" w:hAnsi="Arial"/>
        </w:rPr>
        <w:t>х</w:t>
      </w:r>
      <w:r w:rsidR="00535822" w:rsidRPr="00E97C63">
        <w:rPr>
          <w:rFonts w:ascii="Arial" w:hAnsi="Arial"/>
        </w:rPr>
        <w:t xml:space="preserve"> технически</w:t>
      </w:r>
      <w:r>
        <w:rPr>
          <w:rFonts w:ascii="Arial" w:hAnsi="Arial"/>
        </w:rPr>
        <w:t>х</w:t>
      </w:r>
      <w:r w:rsidR="00535822" w:rsidRPr="00E97C63">
        <w:rPr>
          <w:rFonts w:ascii="Arial" w:hAnsi="Arial"/>
        </w:rPr>
        <w:t xml:space="preserve"> и региональны</w:t>
      </w:r>
      <w:r>
        <w:rPr>
          <w:rFonts w:ascii="Arial" w:hAnsi="Arial"/>
        </w:rPr>
        <w:t>х</w:t>
      </w:r>
      <w:r w:rsidR="00535822" w:rsidRPr="00E97C63">
        <w:rPr>
          <w:rFonts w:ascii="Arial" w:hAnsi="Arial"/>
        </w:rPr>
        <w:t xml:space="preserve"> вспомогательны</w:t>
      </w:r>
      <w:r>
        <w:rPr>
          <w:rFonts w:ascii="Arial" w:hAnsi="Arial"/>
        </w:rPr>
        <w:t>х</w:t>
      </w:r>
      <w:r w:rsidR="00535822" w:rsidRPr="00E97C63">
        <w:rPr>
          <w:rFonts w:ascii="Arial" w:hAnsi="Arial"/>
        </w:rPr>
        <w:t xml:space="preserve"> орган</w:t>
      </w:r>
      <w:r>
        <w:rPr>
          <w:rFonts w:ascii="Arial" w:hAnsi="Arial"/>
        </w:rPr>
        <w:t>ов</w:t>
      </w:r>
      <w:r w:rsidR="00535822" w:rsidRPr="00E97C63">
        <w:rPr>
          <w:rFonts w:ascii="Arial" w:hAnsi="Arial"/>
        </w:rPr>
        <w:t xml:space="preserve"> МОК.</w:t>
      </w:r>
    </w:p>
    <w:p w14:paraId="646FD2FD" w14:textId="2CF11BE1" w:rsidR="003E4CEC" w:rsidRPr="00E97C63" w:rsidRDefault="003E4CEC" w:rsidP="001B2FE2">
      <w:pPr>
        <w:pStyle w:val="COI"/>
      </w:pPr>
      <w:r w:rsidRPr="00E97C63">
        <w:t>В соответствии с кругом ведения, в состав постоянной рабочей группы вошли представители государств – членов МОК, а также эксперты, назначенные надлежащим образом Руководящим комитетом ГЕБКО и соответствующими техническими и региональными вспомогательными органами МОК (в том числе ГЛОСС, СКОММ, МООД, РГ-СПЦО и МОКАРИБ). Список членов группы приводится в приложении I.</w:t>
      </w:r>
    </w:p>
    <w:p w14:paraId="30FE3157" w14:textId="6501AA8F" w:rsidR="003E4CEC" w:rsidRPr="00E97C63" w:rsidRDefault="003E4CEC" w:rsidP="001B2FE2">
      <w:pPr>
        <w:pStyle w:val="COI"/>
      </w:pPr>
      <w:r w:rsidRPr="00E97C63">
        <w:t>Председателем группы был назначен заместитель Председателя МОК, представитель Рабочей группы по системам предупреждения и смягчения последствий цунами и других опасных явлений, связанных с изменением уровня моря (РГ-СПЦО) д-р Александр Постнов.</w:t>
      </w:r>
    </w:p>
    <w:p w14:paraId="209487F5" w14:textId="3070ACDE" w:rsidR="002659F8" w:rsidRPr="00E97C63" w:rsidRDefault="0003133E" w:rsidP="001B2FE2">
      <w:pPr>
        <w:pStyle w:val="COI"/>
      </w:pPr>
      <w:r w:rsidRPr="00E97C63">
        <w:t xml:space="preserve">В целях сбора, обобщения и анализа информации о потребностях пользователей и требованиях, предъявляемых к </w:t>
      </w:r>
      <w:r w:rsidR="002C2FF2">
        <w:t xml:space="preserve">наборам </w:t>
      </w:r>
      <w:r w:rsidRPr="00E97C63">
        <w:t>данны</w:t>
      </w:r>
      <w:r w:rsidR="002C2FF2">
        <w:t>х</w:t>
      </w:r>
      <w:r w:rsidRPr="00E97C63">
        <w:t xml:space="preserve"> и продуктам ГЕБКО со стороны соответствующих технических вспомогательных органов МОК Секретариатом МОК в консультации с некоторыми членами Руководящего комитета ГЕБКО был разработан специальный вопросник. Кроме того, представителям государств-членов</w:t>
      </w:r>
      <w:r w:rsidR="00E97C63">
        <w:t xml:space="preserve"> </w:t>
      </w:r>
      <w:r w:rsidRPr="00E97C63">
        <w:t>была предоставлена возможность отве</w:t>
      </w:r>
      <w:r w:rsidR="002C2FF2">
        <w:t>чать</w:t>
      </w:r>
      <w:r w:rsidRPr="00E97C63">
        <w:t xml:space="preserve"> на все или только на часть сформулированных вопросов. Сам вопросник и полученные на него ответы приводятся в приложении II. Участие в обследовании приняли РГ-СПЦО, программа международного обмена океанографическими данными и информацией (МООД), Китай, Япония, Мексика и Танзания.</w:t>
      </w:r>
    </w:p>
    <w:p w14:paraId="3BB564CC" w14:textId="264C09FC" w:rsidR="00C13E2B" w:rsidRPr="00E97C63" w:rsidRDefault="002C3DF6" w:rsidP="001B2FE2">
      <w:pPr>
        <w:pStyle w:val="COI"/>
      </w:pPr>
      <w:r w:rsidRPr="00E97C63">
        <w:t>Ниже приводится подготовленное постоянной рабочей гр</w:t>
      </w:r>
      <w:r w:rsidR="001B2FE2">
        <w:t>уппой резюме полученных ответов.</w:t>
      </w:r>
    </w:p>
    <w:p w14:paraId="38E8B42F" w14:textId="23722756" w:rsidR="007C26E4" w:rsidRPr="00E97C63" w:rsidRDefault="007C26E4" w:rsidP="001B2FE2">
      <w:pPr>
        <w:pStyle w:val="Titre3"/>
      </w:pPr>
      <w:r w:rsidRPr="00E97C63">
        <w:t xml:space="preserve">ЧАСТЬ I </w:t>
      </w:r>
      <w:r w:rsidR="00963D6A">
        <w:t>–</w:t>
      </w:r>
      <w:r w:rsidRPr="00E97C63">
        <w:t xml:space="preserve"> ПОТРЕБНОСТИ</w:t>
      </w:r>
    </w:p>
    <w:p w14:paraId="52555341" w14:textId="74921683" w:rsidR="00144684" w:rsidRPr="00E97C63" w:rsidRDefault="003B2FC0" w:rsidP="001B2FE2">
      <w:pPr>
        <w:pStyle w:val="Titre3"/>
      </w:pPr>
      <w:r w:rsidRPr="00E97C63">
        <w:t>Востребованность продуктов ГЕБКО</w:t>
      </w:r>
      <w:r w:rsidR="00DF34BA" w:rsidRPr="00E97C63">
        <w:rPr>
          <w:rStyle w:val="Appelnotedebasdep"/>
        </w:rPr>
        <w:footnoteReference w:id="1"/>
      </w:r>
      <w:r w:rsidRPr="00E97C63">
        <w:t xml:space="preserve"> (пункты 1-3 и 6 вопросника)</w:t>
      </w:r>
    </w:p>
    <w:p w14:paraId="4A174D36" w14:textId="401E4675" w:rsidR="002659F8" w:rsidRPr="00E97C63" w:rsidRDefault="008843D0" w:rsidP="001B2FE2">
      <w:pPr>
        <w:pStyle w:val="COI"/>
      </w:pPr>
      <w:r w:rsidRPr="00E97C63">
        <w:t xml:space="preserve">Все респонденты знакомы с информационными продуктами ГЕБКО и называют </w:t>
      </w:r>
      <w:hyperlink r:id="rId11" w:history="1">
        <w:r w:rsidRPr="00E97C63">
          <w:rPr>
            <w:rStyle w:val="Lienhypertexte"/>
          </w:rPr>
          <w:t>наборы батиметрических данных ГЕБКО с координатной привязкой</w:t>
        </w:r>
      </w:hyperlink>
      <w:r w:rsidRPr="00E97C63">
        <w:t xml:space="preserve"> в высшей степени популярной и востребованной пр</w:t>
      </w:r>
      <w:r w:rsidR="002C2FF2">
        <w:t>одукцией. Многими органами МОК в</w:t>
      </w:r>
      <w:r w:rsidR="00D03A14">
        <w:t xml:space="preserve"> числе</w:t>
      </w:r>
      <w:r w:rsidRPr="00E97C63">
        <w:t xml:space="preserve"> весьма популярных и актуальных продуктов был также </w:t>
      </w:r>
      <w:r w:rsidR="002C2FF2">
        <w:t>назван</w:t>
      </w:r>
      <w:r w:rsidRPr="00E97C63">
        <w:t xml:space="preserve"> </w:t>
      </w:r>
      <w:hyperlink r:id="rId12" w:history="1">
        <w:r w:rsidRPr="00E97C63">
          <w:rPr>
            <w:rStyle w:val="Lienhypertexte"/>
          </w:rPr>
          <w:t>электронный газеттир названий форм подводного рельефа ГЕБКО</w:t>
        </w:r>
      </w:hyperlink>
      <w:r w:rsidRPr="00E97C63">
        <w:t xml:space="preserve">. В то же время респонденты, представляющие вспомогательные органы МОК, назвали в числе наименее востребованных продуктов справочник </w:t>
      </w:r>
      <w:hyperlink r:id="rId13" w:history="1">
        <w:r w:rsidRPr="00E97C63">
          <w:rPr>
            <w:rStyle w:val="Lienhypertexte"/>
          </w:rPr>
          <w:t>«История ГЕБКО»</w:t>
        </w:r>
      </w:hyperlink>
      <w:r w:rsidRPr="00E97C63">
        <w:t>.</w:t>
      </w:r>
    </w:p>
    <w:p w14:paraId="5C2AA383" w14:textId="7D30897C" w:rsidR="008843D0" w:rsidRPr="00E97C63" w:rsidRDefault="00881576" w:rsidP="001B2FE2">
      <w:pPr>
        <w:pStyle w:val="COI"/>
      </w:pPr>
      <w:r w:rsidRPr="00E97C63">
        <w:t>В качестве областей возможного совершенствования применительно к продукции ГЕБКО были названы следующие:</w:t>
      </w:r>
    </w:p>
    <w:p w14:paraId="6ACFB426" w14:textId="2265D035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/>
        </w:rPr>
        <w:t>В отношении наборов</w:t>
      </w:r>
      <w:r w:rsidR="00E734C9" w:rsidRPr="00E97C63">
        <w:rPr>
          <w:rFonts w:ascii="Arial" w:hAnsi="Arial"/>
        </w:rPr>
        <w:t xml:space="preserve"> батиметрических данных ГЕБКО с координатной привязкой</w:t>
      </w:r>
      <w:r>
        <w:rPr>
          <w:rFonts w:ascii="Arial" w:hAnsi="Arial"/>
        </w:rPr>
        <w:t>:</w:t>
      </w:r>
    </w:p>
    <w:p w14:paraId="3D3F14A9" w14:textId="77777777" w:rsidR="00881576" w:rsidRPr="00E97C63" w:rsidRDefault="00881576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точность, качество и охват привязанных к сетке данных, особенно в отношении Южного полушария и мелководных районов;</w:t>
      </w:r>
    </w:p>
    <w:p w14:paraId="38085ECD" w14:textId="77777777" w:rsidR="00881576" w:rsidRPr="00E97C63" w:rsidRDefault="00881576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представление метаинформации, касающейся исходных данных, таких как метод локации и год проведения исследования;</w:t>
      </w:r>
    </w:p>
    <w:p w14:paraId="3429BC49" w14:textId="77777777" w:rsidR="00767257" w:rsidRPr="00E97C63" w:rsidRDefault="00881576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lastRenderedPageBreak/>
        <w:t>возможность скачивания привязанных к секте данных.</w:t>
      </w:r>
    </w:p>
    <w:p w14:paraId="7FED3FE3" w14:textId="684D534A" w:rsidR="00881576" w:rsidRPr="002C2FF2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4" w:history="1">
        <w:r w:rsidRPr="002C2FF2">
          <w:rPr>
            <w:rStyle w:val="Lienhypertexte"/>
            <w:rFonts w:ascii="Arial" w:hAnsi="Arial" w:cs="Arial"/>
          </w:rPr>
          <w:t>п</w:t>
        </w:r>
        <w:r>
          <w:rPr>
            <w:rStyle w:val="Lienhypertexte"/>
            <w:rFonts w:ascii="Arial" w:hAnsi="Arial" w:cs="Arial"/>
          </w:rPr>
          <w:t>рограммного</w:t>
        </w:r>
        <w:r w:rsidR="00F67E7E" w:rsidRPr="002C2FF2">
          <w:rPr>
            <w:rStyle w:val="Lienhypertexte"/>
            <w:rFonts w:ascii="Arial" w:hAnsi="Arial" w:cs="Arial"/>
          </w:rPr>
          <w:t xml:space="preserve"> обеспечени</w:t>
        </w:r>
        <w:r>
          <w:rPr>
            <w:rStyle w:val="Lienhypertexte"/>
            <w:rFonts w:ascii="Arial" w:hAnsi="Arial" w:cs="Arial"/>
          </w:rPr>
          <w:t>я</w:t>
        </w:r>
        <w:r w:rsidR="00F67E7E" w:rsidRPr="002C2FF2">
          <w:rPr>
            <w:rStyle w:val="Lienhypertexte"/>
            <w:rFonts w:ascii="Arial" w:hAnsi="Arial" w:cs="Arial"/>
          </w:rPr>
          <w:t xml:space="preserve"> отображения наборов данных с координатной сеткой</w:t>
        </w:r>
      </w:hyperlink>
      <w:r>
        <w:rPr>
          <w:rStyle w:val="Lienhypertexte"/>
          <w:rFonts w:ascii="Arial" w:hAnsi="Arial" w:cs="Arial"/>
          <w:u w:val="none"/>
        </w:rPr>
        <w:t>:</w:t>
      </w:r>
    </w:p>
    <w:p w14:paraId="4BB8EFE9" w14:textId="77777777" w:rsidR="006375A2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доступность и возможность использования данных в международном формате;</w:t>
      </w:r>
    </w:p>
    <w:p w14:paraId="10D88EA5" w14:textId="77777777" w:rsidR="00767257" w:rsidRPr="00E97C63" w:rsidRDefault="00C44244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возможность отображения профиля вдоль указанной линии.</w:t>
      </w:r>
    </w:p>
    <w:p w14:paraId="5EE510FA" w14:textId="3AB5ADDF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5" w:history="1">
        <w:r>
          <w:rPr>
            <w:rStyle w:val="Lienhypertexte"/>
            <w:rFonts w:ascii="Arial" w:hAnsi="Arial"/>
          </w:rPr>
          <w:t>цифрового</w:t>
        </w:r>
        <w:r w:rsidR="00F67E7E" w:rsidRPr="00E97C63">
          <w:rPr>
            <w:rStyle w:val="Lienhypertexte"/>
            <w:rFonts w:ascii="Arial" w:hAnsi="Arial"/>
          </w:rPr>
          <w:t xml:space="preserve"> атлас</w:t>
        </w:r>
        <w:r>
          <w:rPr>
            <w:rStyle w:val="Lienhypertexte"/>
            <w:rFonts w:ascii="Arial" w:hAnsi="Arial"/>
          </w:rPr>
          <w:t>а</w:t>
        </w:r>
        <w:r w:rsidR="00F67E7E" w:rsidRPr="00E97C63">
          <w:rPr>
            <w:rStyle w:val="Lienhypertexte"/>
            <w:rFonts w:ascii="Arial" w:hAnsi="Arial"/>
          </w:rPr>
          <w:t xml:space="preserve"> ГЕБКО</w:t>
        </w:r>
      </w:hyperlink>
      <w:r w:rsidRPr="002C2FF2">
        <w:rPr>
          <w:rStyle w:val="Lienhypertexte"/>
          <w:rFonts w:ascii="Arial" w:hAnsi="Arial"/>
          <w:u w:val="none"/>
        </w:rPr>
        <w:t>:</w:t>
      </w:r>
    </w:p>
    <w:p w14:paraId="14C93A23" w14:textId="77777777" w:rsidR="00C44244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возможность отображения профиля вдоль указанной линии;</w:t>
      </w:r>
    </w:p>
    <w:p w14:paraId="06C81919" w14:textId="77777777" w:rsidR="00C44244" w:rsidRPr="00E97C63" w:rsidRDefault="00767257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точность данных на национальном/локальном уровне;</w:t>
      </w:r>
    </w:p>
    <w:p w14:paraId="45779964" w14:textId="77777777" w:rsidR="00767257" w:rsidRPr="00E97C63" w:rsidRDefault="00767257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охват локально известных элементов подводного рельефа.</w:t>
      </w:r>
    </w:p>
    <w:p w14:paraId="13EA0122" w14:textId="2D936584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r>
        <w:rPr>
          <w:rFonts w:ascii="Arial" w:hAnsi="Arial" w:cs="Arial"/>
        </w:rPr>
        <w:t>н</w:t>
      </w:r>
      <w:r>
        <w:rPr>
          <w:rFonts w:ascii="Arial" w:hAnsi="Arial"/>
        </w:rPr>
        <w:t>азваний</w:t>
      </w:r>
      <w:r w:rsidR="00881576" w:rsidRPr="00E97C63">
        <w:rPr>
          <w:rFonts w:ascii="Arial" w:hAnsi="Arial"/>
        </w:rPr>
        <w:t xml:space="preserve"> элементов подводного рельефа</w:t>
      </w:r>
      <w:r>
        <w:rPr>
          <w:rFonts w:ascii="Arial" w:hAnsi="Arial"/>
        </w:rPr>
        <w:t>:</w:t>
      </w:r>
    </w:p>
    <w:p w14:paraId="133A29A8" w14:textId="77777777" w:rsidR="006375A2" w:rsidRPr="00E97C63" w:rsidRDefault="002D4ED8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работа функции масштабирования в окне карты;</w:t>
      </w:r>
    </w:p>
    <w:p w14:paraId="395CBD44" w14:textId="77777777" w:rsidR="002D4ED8" w:rsidRPr="00E97C63" w:rsidRDefault="002D4ED8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разрешение изображения элементов подводного рельефа и других элементов в окне батиметрической карты;</w:t>
      </w:r>
    </w:p>
    <w:p w14:paraId="35D5AC20" w14:textId="77777777" w:rsidR="002D4ED8" w:rsidRPr="00E97C63" w:rsidRDefault="002D4ED8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распространение данных через интернет с помощью картографических веб-сервисов;</w:t>
      </w:r>
    </w:p>
    <w:p w14:paraId="613919F8" w14:textId="77777777" w:rsidR="00767257" w:rsidRPr="00E97C63" w:rsidRDefault="002D4ED8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регулярное улучшение качества/обновление данных.</w:t>
      </w:r>
    </w:p>
    <w:p w14:paraId="10AC513F" w14:textId="558D3472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6" w:history="1">
        <w:r>
          <w:rPr>
            <w:rStyle w:val="Lienhypertexte"/>
            <w:rFonts w:ascii="Arial" w:hAnsi="Arial"/>
          </w:rPr>
          <w:t>картографического</w:t>
        </w:r>
        <w:r w:rsidR="00F67E7E" w:rsidRPr="00E97C63">
          <w:rPr>
            <w:rStyle w:val="Lienhypertexte"/>
            <w:rFonts w:ascii="Arial" w:hAnsi="Arial"/>
          </w:rPr>
          <w:t xml:space="preserve"> веб-сервис</w:t>
        </w:r>
        <w:r>
          <w:rPr>
            <w:rStyle w:val="Lienhypertexte"/>
            <w:rFonts w:ascii="Arial" w:hAnsi="Arial"/>
          </w:rPr>
          <w:t>а</w:t>
        </w:r>
        <w:r w:rsidR="00F67E7E" w:rsidRPr="00E97C63">
          <w:rPr>
            <w:rStyle w:val="Lienhypertexte"/>
            <w:rFonts w:ascii="Arial" w:hAnsi="Arial"/>
          </w:rPr>
          <w:t xml:space="preserve"> ГЕБКО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3DB586A6" w14:textId="6E8047B2" w:rsidR="00767257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предложения отсутствуют</w:t>
      </w:r>
      <w:r w:rsidR="00963D6A">
        <w:rPr>
          <w:rFonts w:ascii="Arial" w:hAnsi="Arial"/>
        </w:rPr>
        <w:t>.</w:t>
      </w:r>
    </w:p>
    <w:p w14:paraId="01C33188" w14:textId="59B76F63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7" w:history="1">
        <w:r>
          <w:rPr>
            <w:rStyle w:val="Lienhypertexte"/>
            <w:rFonts w:ascii="Arial" w:hAnsi="Arial"/>
          </w:rPr>
          <w:t>карт</w:t>
        </w:r>
        <w:r w:rsidR="00F67E7E" w:rsidRPr="00E97C63">
          <w:rPr>
            <w:rStyle w:val="Lienhypertexte"/>
            <w:rFonts w:ascii="Arial" w:hAnsi="Arial"/>
          </w:rPr>
          <w:t xml:space="preserve"> с поддержкой функции печати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384FED92" w14:textId="646D9747" w:rsidR="00767257" w:rsidRPr="00E97C63" w:rsidRDefault="002C2FF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/>
        </w:rPr>
        <w:t>б</w:t>
      </w:r>
      <w:r w:rsidR="002D4ED8" w:rsidRPr="00E97C63">
        <w:rPr>
          <w:rFonts w:ascii="Arial" w:hAnsi="Arial"/>
        </w:rPr>
        <w:t xml:space="preserve">ольшое </w:t>
      </w:r>
      <w:r>
        <w:rPr>
          <w:rFonts w:ascii="Arial" w:hAnsi="Arial"/>
        </w:rPr>
        <w:t xml:space="preserve">количество </w:t>
      </w:r>
      <w:r w:rsidR="002D4ED8" w:rsidRPr="00E97C63">
        <w:rPr>
          <w:rFonts w:ascii="Arial" w:hAnsi="Arial"/>
        </w:rPr>
        <w:t>разнообраз</w:t>
      </w:r>
      <w:r>
        <w:rPr>
          <w:rFonts w:ascii="Arial" w:hAnsi="Arial"/>
        </w:rPr>
        <w:t>ных карт, которы</w:t>
      </w:r>
      <w:r w:rsidR="002D4ED8" w:rsidRPr="00E97C63">
        <w:rPr>
          <w:rFonts w:ascii="Arial" w:hAnsi="Arial"/>
        </w:rPr>
        <w:t xml:space="preserve">е можно было бы использовать </w:t>
      </w:r>
      <w:r>
        <w:rPr>
          <w:rFonts w:ascii="Arial" w:hAnsi="Arial"/>
        </w:rPr>
        <w:t xml:space="preserve">как </w:t>
      </w:r>
      <w:r w:rsidR="002D4ED8" w:rsidRPr="00E97C63">
        <w:rPr>
          <w:rFonts w:ascii="Arial" w:hAnsi="Arial"/>
        </w:rPr>
        <w:t xml:space="preserve">для популяризации проекта ГЕБКО, </w:t>
      </w:r>
      <w:r>
        <w:rPr>
          <w:rFonts w:ascii="Arial" w:hAnsi="Arial"/>
        </w:rPr>
        <w:t>так и</w:t>
      </w:r>
      <w:r w:rsidR="002D4ED8" w:rsidRPr="00E97C63">
        <w:rPr>
          <w:rFonts w:ascii="Arial" w:hAnsi="Arial"/>
        </w:rPr>
        <w:t xml:space="preserve"> в </w:t>
      </w:r>
      <w:r>
        <w:rPr>
          <w:rFonts w:ascii="Arial" w:hAnsi="Arial"/>
        </w:rPr>
        <w:t>области</w:t>
      </w:r>
      <w:r w:rsidR="002D4ED8" w:rsidRPr="00E97C63">
        <w:rPr>
          <w:rFonts w:ascii="Arial" w:hAnsi="Arial"/>
        </w:rPr>
        <w:t xml:space="preserve"> образования.</w:t>
      </w:r>
    </w:p>
    <w:p w14:paraId="2AD75F44" w14:textId="72A4951E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8" w:history="1">
        <w:r>
          <w:rPr>
            <w:rStyle w:val="Lienhypertexte"/>
            <w:rFonts w:ascii="Arial" w:hAnsi="Arial"/>
          </w:rPr>
          <w:t>с</w:t>
        </w:r>
        <w:r w:rsidR="00F67E7E" w:rsidRPr="00E97C63">
          <w:rPr>
            <w:rStyle w:val="Lienhypertexte"/>
            <w:rFonts w:ascii="Arial" w:hAnsi="Arial"/>
          </w:rPr>
          <w:t>борник</w:t>
        </w:r>
        <w:r>
          <w:rPr>
            <w:rStyle w:val="Lienhypertexte"/>
            <w:rFonts w:ascii="Arial" w:hAnsi="Arial"/>
          </w:rPr>
          <w:t>а</w:t>
        </w:r>
        <w:r w:rsidR="00F67E7E" w:rsidRPr="00E97C63">
          <w:rPr>
            <w:rStyle w:val="Lienhypertexte"/>
            <w:rFonts w:ascii="Arial" w:hAnsi="Arial"/>
          </w:rPr>
          <w:t xml:space="preserve"> рекомендаций ГЕБКО МГО-МОК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236E8CF2" w14:textId="6785DD62" w:rsidR="006375A2" w:rsidRPr="00E97C63" w:rsidRDefault="002D4ED8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подготовка издания на других языках;</w:t>
      </w:r>
    </w:p>
    <w:p w14:paraId="6321E033" w14:textId="158AE88C" w:rsidR="00767257" w:rsidRPr="00E97C63" w:rsidRDefault="004F50CF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актуализация некоторых разделов, в том числе устаревших рекомендуемых ссылок.</w:t>
      </w:r>
    </w:p>
    <w:p w14:paraId="791915B1" w14:textId="68AE47DD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19" w:history="1">
        <w:r>
          <w:rPr>
            <w:rStyle w:val="Lienhypertexte"/>
            <w:rFonts w:ascii="Arial" w:hAnsi="Arial"/>
          </w:rPr>
          <w:t>карт</w:t>
        </w:r>
        <w:r w:rsidR="00F67E7E" w:rsidRPr="00E97C63">
          <w:rPr>
            <w:rStyle w:val="Lienhypertexte"/>
            <w:rFonts w:ascii="Arial" w:hAnsi="Arial"/>
          </w:rPr>
          <w:t xml:space="preserve"> ГЕБКО прошлых лет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52620F3A" w14:textId="266381A6" w:rsidR="006375A2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предложения отсутствуют</w:t>
      </w:r>
      <w:r w:rsidR="00963D6A">
        <w:rPr>
          <w:rFonts w:ascii="Arial" w:hAnsi="Arial"/>
        </w:rPr>
        <w:t>.</w:t>
      </w:r>
    </w:p>
    <w:p w14:paraId="6933A974" w14:textId="526DB188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20" w:history="1">
        <w:r>
          <w:rPr>
            <w:rStyle w:val="Lienhypertexte"/>
            <w:rFonts w:ascii="Arial" w:hAnsi="Arial"/>
          </w:rPr>
          <w:t>в</w:t>
        </w:r>
        <w:r w:rsidR="00F67E7E" w:rsidRPr="00E97C63">
          <w:rPr>
            <w:rStyle w:val="Lienhypertexte"/>
            <w:rFonts w:ascii="Arial" w:hAnsi="Arial"/>
          </w:rPr>
          <w:t>изуальн</w:t>
        </w:r>
        <w:r>
          <w:rPr>
            <w:rStyle w:val="Lienhypertexte"/>
            <w:rFonts w:ascii="Arial" w:hAnsi="Arial"/>
          </w:rPr>
          <w:t>ой</w:t>
        </w:r>
        <w:r w:rsidR="00F67E7E" w:rsidRPr="00E97C63">
          <w:rPr>
            <w:rStyle w:val="Lienhypertexte"/>
            <w:rFonts w:ascii="Arial" w:hAnsi="Arial"/>
          </w:rPr>
          <w:t xml:space="preserve"> информаци</w:t>
        </w:r>
        <w:r>
          <w:rPr>
            <w:rStyle w:val="Lienhypertexte"/>
            <w:rFonts w:ascii="Arial" w:hAnsi="Arial"/>
          </w:rPr>
          <w:t>и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7DF8B150" w14:textId="07A43A59" w:rsidR="00767257" w:rsidRPr="00E97C63" w:rsidRDefault="004F50CF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Большое разнообразие визуальной информации, которую можно было бы использовать для популяризации проекта ГЕБКО, а также в сфере образования.</w:t>
      </w:r>
    </w:p>
    <w:p w14:paraId="48B732AA" w14:textId="4AC81C14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hyperlink r:id="rId21" w:history="1">
        <w:r>
          <w:rPr>
            <w:rStyle w:val="Lienhypertexte"/>
            <w:rFonts w:ascii="Arial" w:hAnsi="Arial"/>
          </w:rPr>
          <w:t>карт</w:t>
        </w:r>
        <w:r w:rsidR="00F67E7E" w:rsidRPr="00E97C63">
          <w:rPr>
            <w:rStyle w:val="Lienhypertexte"/>
            <w:rFonts w:ascii="Arial" w:hAnsi="Arial"/>
          </w:rPr>
          <w:t xml:space="preserve"> на бумажных носителях</w:t>
        </w:r>
      </w:hyperlink>
      <w:r>
        <w:rPr>
          <w:rStyle w:val="Lienhypertexte"/>
          <w:rFonts w:ascii="Arial" w:hAnsi="Arial"/>
          <w:u w:val="none"/>
        </w:rPr>
        <w:t>:</w:t>
      </w:r>
    </w:p>
    <w:p w14:paraId="371F6D1D" w14:textId="1EB2BEB6" w:rsidR="006375A2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предложения отсутствуют</w:t>
      </w:r>
      <w:r w:rsidR="00963D6A">
        <w:rPr>
          <w:rFonts w:ascii="Arial" w:hAnsi="Arial"/>
        </w:rPr>
        <w:t>.</w:t>
      </w:r>
    </w:p>
    <w:p w14:paraId="4AEC1F0E" w14:textId="564554CE" w:rsidR="00881576" w:rsidRPr="00E97C63" w:rsidRDefault="002C2FF2" w:rsidP="00D03A14">
      <w:pPr>
        <w:pStyle w:val="Paragraphedeliste"/>
        <w:numPr>
          <w:ilvl w:val="0"/>
          <w:numId w:val="44"/>
        </w:numPr>
        <w:spacing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C2FF2">
        <w:rPr>
          <w:rFonts w:ascii="Arial" w:hAnsi="Arial" w:cs="Arial"/>
        </w:rPr>
        <w:t xml:space="preserve">В отношении </w:t>
      </w:r>
      <w:r>
        <w:rPr>
          <w:rFonts w:ascii="Arial" w:hAnsi="Arial" w:cs="Arial"/>
        </w:rPr>
        <w:t>и</w:t>
      </w:r>
      <w:r>
        <w:rPr>
          <w:rFonts w:ascii="Arial" w:hAnsi="Arial"/>
        </w:rPr>
        <w:t>стории</w:t>
      </w:r>
      <w:r w:rsidR="00881576" w:rsidRPr="00E97C63">
        <w:rPr>
          <w:rFonts w:ascii="Arial" w:hAnsi="Arial"/>
        </w:rPr>
        <w:t xml:space="preserve"> ГЕБКО</w:t>
      </w:r>
      <w:r>
        <w:rPr>
          <w:rFonts w:ascii="Arial" w:hAnsi="Arial"/>
        </w:rPr>
        <w:t>:</w:t>
      </w:r>
    </w:p>
    <w:p w14:paraId="5F704AFA" w14:textId="4A97A997" w:rsidR="006375A2" w:rsidRPr="00E97C63" w:rsidRDefault="006375A2" w:rsidP="00D03A14">
      <w:pPr>
        <w:pStyle w:val="Paragraphedeliste"/>
        <w:numPr>
          <w:ilvl w:val="0"/>
          <w:numId w:val="46"/>
        </w:numPr>
        <w:spacing w:after="240" w:line="240" w:lineRule="auto"/>
        <w:ind w:left="1701" w:hanging="567"/>
        <w:contextualSpacing w:val="0"/>
        <w:jc w:val="both"/>
        <w:rPr>
          <w:rFonts w:ascii="Arial" w:hAnsi="Arial" w:cs="Arial"/>
        </w:rPr>
      </w:pPr>
      <w:r w:rsidRPr="00E97C63">
        <w:rPr>
          <w:rFonts w:ascii="Arial" w:hAnsi="Arial"/>
        </w:rPr>
        <w:t>предложения отсутствуют</w:t>
      </w:r>
      <w:r w:rsidR="00963D6A">
        <w:rPr>
          <w:rFonts w:ascii="Arial" w:hAnsi="Arial"/>
        </w:rPr>
        <w:t>.</w:t>
      </w:r>
    </w:p>
    <w:p w14:paraId="04DC183C" w14:textId="30A8B9E7" w:rsidR="00144684" w:rsidRPr="00E97C63" w:rsidRDefault="00AA2C4F" w:rsidP="001B2FE2">
      <w:pPr>
        <w:pStyle w:val="COI"/>
      </w:pPr>
      <w:r w:rsidRPr="00E97C63">
        <w:lastRenderedPageBreak/>
        <w:t>РГ-СПЦО подчеркнула важность формирования исчерпывающей базы батиметрических данных, в частности по прибрежной зоне, для разработки моделей выз</w:t>
      </w:r>
      <w:r w:rsidR="002C2FF2">
        <w:t>ы</w:t>
      </w:r>
      <w:r w:rsidRPr="00E97C63">
        <w:t>ва</w:t>
      </w:r>
      <w:r w:rsidR="002C2FF2">
        <w:t>емых</w:t>
      </w:r>
      <w:r w:rsidRPr="00E97C63">
        <w:t xml:space="preserve"> цунами наводнений</w:t>
      </w:r>
      <w:r w:rsidR="002C2FF2">
        <w:t xml:space="preserve"> (</w:t>
      </w:r>
      <w:r w:rsidR="002C2FF2" w:rsidRPr="00E97C63">
        <w:t>в высоком разрешении</w:t>
      </w:r>
      <w:r w:rsidR="002C2FF2">
        <w:t>).</w:t>
      </w:r>
      <w:r w:rsidRPr="00E97C63">
        <w:t xml:space="preserve"> Несмотря на то, что РГ-СПЦО и МООД н</w:t>
      </w:r>
      <w:r w:rsidR="002C2FF2">
        <w:t>апрямую не сотрудничают</w:t>
      </w:r>
      <w:r w:rsidRPr="00E97C63">
        <w:t xml:space="preserve"> с ГЕБКО, </w:t>
      </w:r>
      <w:r w:rsidR="002C2FF2">
        <w:t>ими</w:t>
      </w:r>
      <w:r w:rsidRPr="00E97C63">
        <w:t xml:space="preserve"> используются продукты ГЕБКО.</w:t>
      </w:r>
    </w:p>
    <w:p w14:paraId="0A9A7A5C" w14:textId="77777777" w:rsidR="00D22B5C" w:rsidRPr="00E97C63" w:rsidRDefault="00C44244" w:rsidP="001B2FE2">
      <w:pPr>
        <w:pStyle w:val="COI"/>
      </w:pPr>
      <w:r w:rsidRPr="00E97C63">
        <w:t>Наряду с этим было предложено создать пользовательскую базу данных/лист рассылки в целях распространения информации об обзоре, а также использовать новые технологии для сбора в онлайновом режиме информации о потребностях пользователей в отношении наборов данных и продуктов ГЕБКО.</w:t>
      </w:r>
    </w:p>
    <w:p w14:paraId="6354D69D" w14:textId="45D493FE" w:rsidR="00D37D2B" w:rsidRPr="00E97C63" w:rsidRDefault="00D37D2B" w:rsidP="001B2FE2">
      <w:pPr>
        <w:pStyle w:val="Titre3"/>
      </w:pPr>
      <w:r w:rsidRPr="00E97C63">
        <w:t>Потребности конкретных пользователей в данных и продуктах ГЕБКО (пункты 4 и 5 вопросника)</w:t>
      </w:r>
    </w:p>
    <w:p w14:paraId="48BA31E8" w14:textId="18E70548" w:rsidR="00610162" w:rsidRPr="00E97C63" w:rsidRDefault="00DD4132" w:rsidP="001B2FE2">
      <w:pPr>
        <w:pStyle w:val="COI"/>
      </w:pPr>
      <w:r w:rsidRPr="00E97C63">
        <w:t>В отношении отдельных продуктов ГЕБКО были сформулированы следующие потребности:</w:t>
      </w:r>
    </w:p>
    <w:p w14:paraId="2A196833" w14:textId="71C24A0F" w:rsidR="008D76D9" w:rsidRPr="00E97C63" w:rsidRDefault="008D76D9" w:rsidP="001B2FE2">
      <w:pPr>
        <w:pStyle w:val="COI"/>
      </w:pPr>
      <w:r w:rsidRPr="00E97C63">
        <w:t>Традиционные продукты ГЕБКО (для районов с глубиной свыше 200 м), используемые в следующих целях:</w:t>
      </w:r>
    </w:p>
    <w:p w14:paraId="2BBF3AFB" w14:textId="77C45B24" w:rsidR="000C6B07" w:rsidRPr="002C2FF2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2C2FF2">
        <w:t xml:space="preserve">прогнозирование опасных явлений, в том числе цунами, в прибрежных районах (разрешение: от 30 угловых секунд до 4 угловых минут; пользователи: </w:t>
      </w:r>
      <w:r w:rsidR="00B3275C">
        <w:t xml:space="preserve">ответственные </w:t>
      </w:r>
      <w:r w:rsidR="009646B1">
        <w:t>научные работники</w:t>
      </w:r>
      <w:r w:rsidRPr="002C2FF2">
        <w:t>);</w:t>
      </w:r>
    </w:p>
    <w:p w14:paraId="6246697A" w14:textId="779FB53A" w:rsidR="000C6B07" w:rsidRPr="00E97C63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E97C63">
        <w:t xml:space="preserve">первичные данные для числового моделирования (пользователи: </w:t>
      </w:r>
      <w:r w:rsidR="005E1CBC">
        <w:t>научные работники</w:t>
      </w:r>
      <w:r w:rsidRPr="00E97C63">
        <w:t xml:space="preserve"> и исследователи);</w:t>
      </w:r>
    </w:p>
    <w:p w14:paraId="4249534C" w14:textId="77777777" w:rsidR="000C6B07" w:rsidRPr="00E97C63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E97C63">
        <w:t>первичные данные для морского пространственного планирования и планирования гидрографических изысканий (пользователи: директивные органы);</w:t>
      </w:r>
    </w:p>
    <w:p w14:paraId="120D6C9E" w14:textId="45A0166A" w:rsidR="000C6B07" w:rsidRPr="00E97C63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E97C63">
        <w:t>материалы просветительского характера;</w:t>
      </w:r>
    </w:p>
    <w:p w14:paraId="280CB35B" w14:textId="77777777" w:rsidR="000C6B07" w:rsidRPr="00E97C63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E97C63">
        <w:t>базовая информация для сферы морского проектирования, строительства, прокладки трубопроводов и кабелей (пользователи: предприятия);</w:t>
      </w:r>
    </w:p>
    <w:p w14:paraId="0A496841" w14:textId="77777777" w:rsidR="000C6B07" w:rsidRPr="00E97C63" w:rsidRDefault="000C6B07" w:rsidP="00963D6A">
      <w:pPr>
        <w:pStyle w:val="Marge"/>
        <w:numPr>
          <w:ilvl w:val="0"/>
          <w:numId w:val="34"/>
        </w:numPr>
        <w:ind w:left="1134" w:hanging="567"/>
      </w:pPr>
      <w:r w:rsidRPr="00E97C63">
        <w:t>учебные материалы;</w:t>
      </w:r>
    </w:p>
    <w:p w14:paraId="3D312FF3" w14:textId="3D73A8EA" w:rsidR="00C44244" w:rsidRPr="00E97C63" w:rsidRDefault="009646B1" w:rsidP="00963D6A">
      <w:pPr>
        <w:pStyle w:val="Marge"/>
        <w:numPr>
          <w:ilvl w:val="0"/>
          <w:numId w:val="34"/>
        </w:numPr>
        <w:ind w:left="1134" w:hanging="567"/>
      </w:pPr>
      <w:r>
        <w:t>картооснова</w:t>
      </w:r>
      <w:r w:rsidR="000C6B07" w:rsidRPr="00E97C63">
        <w:t xml:space="preserve"> многоцелевого применения (ГЕБКО_2014_с 1-минутной сеткой);</w:t>
      </w:r>
    </w:p>
    <w:p w14:paraId="230948CF" w14:textId="2988A8D1" w:rsidR="003F0A29" w:rsidRPr="00E97C63" w:rsidRDefault="00E4080B" w:rsidP="00901C97">
      <w:pPr>
        <w:spacing w:after="240"/>
        <w:jc w:val="both"/>
      </w:pPr>
      <w:r w:rsidRPr="00E97C63">
        <w:t>[Типовое разрешение координатной сетки используемых в этих целях продуктов ГЕБКО составляет 30''-10''.]</w:t>
      </w:r>
    </w:p>
    <w:p w14:paraId="363AE446" w14:textId="7AC11843" w:rsidR="00B71FF6" w:rsidRPr="00E97C63" w:rsidRDefault="00B71FF6" w:rsidP="001B2FE2">
      <w:pPr>
        <w:pStyle w:val="COI"/>
      </w:pPr>
      <w:r w:rsidRPr="00E97C63">
        <w:t>Продукты ГЕБКО, касающиеся батиметрии мелководья (глубина менее 200 м), которые могут использоваться для решения целого ряда задач, включая приведенные ниже:</w:t>
      </w:r>
    </w:p>
    <w:p w14:paraId="0C541851" w14:textId="18F43534" w:rsidR="00E23C9A" w:rsidRPr="009646B1" w:rsidRDefault="00785C26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9646B1">
        <w:t xml:space="preserve">прогнозирование опасных явлений, в том числе цунами, в прибрежных районах (разрешение: от 30 угловых секунд до 4 угловых минут; пользователи: </w:t>
      </w:r>
      <w:r w:rsidR="005E1CBC">
        <w:t xml:space="preserve">ответственные </w:t>
      </w:r>
      <w:r w:rsidR="009646B1">
        <w:t>научные работники</w:t>
      </w:r>
      <w:r w:rsidRPr="009646B1">
        <w:t>);</w:t>
      </w:r>
    </w:p>
    <w:p w14:paraId="11358876" w14:textId="6AA6BBA6" w:rsidR="00E23C9A" w:rsidRPr="00E97C63" w:rsidRDefault="00E23C9A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 xml:space="preserve">первичные данные, используемые в области числового моделирования и уменьшения опасности бедствий (пользователи: </w:t>
      </w:r>
      <w:r w:rsidR="005E1CBC">
        <w:t>научные работники</w:t>
      </w:r>
      <w:r w:rsidRPr="00E97C63">
        <w:t>, исследователи и организации);</w:t>
      </w:r>
    </w:p>
    <w:p w14:paraId="4DC0D0B6" w14:textId="77777777" w:rsidR="00E23C9A" w:rsidRPr="00E97C63" w:rsidRDefault="00E23C9A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>первичные данные для морского пространственного планирования и планирования гидрографических изысканий (пользователи: директивные органы);</w:t>
      </w:r>
    </w:p>
    <w:p w14:paraId="7913B8A5" w14:textId="77777777" w:rsidR="00E23C9A" w:rsidRPr="00E97C63" w:rsidRDefault="00E23C9A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>учебные материалы;</w:t>
      </w:r>
    </w:p>
    <w:p w14:paraId="049F8CAE" w14:textId="77777777" w:rsidR="00785C26" w:rsidRPr="00E97C63" w:rsidRDefault="00785C26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>базовая информация для сферы морского проектирования, строительства, прокладки трубопроводов и кабелей (пользователи: предприятия);</w:t>
      </w:r>
    </w:p>
    <w:p w14:paraId="77E490B3" w14:textId="77777777" w:rsidR="00785C26" w:rsidRPr="00E97C63" w:rsidRDefault="00785C26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>обеспечение безопасности судов (пользователи: портовые власти);</w:t>
      </w:r>
    </w:p>
    <w:p w14:paraId="16902AA7" w14:textId="77777777" w:rsidR="00597036" w:rsidRPr="00E97C63" w:rsidRDefault="00597036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lastRenderedPageBreak/>
        <w:t>картооснова мелководья (цифровые модели рельефа прибрежных зон в высоком разрешении (ЦМР), включая факторы неопределенности и инструменты преобразования различных данных вертикальных измерений;</w:t>
      </w:r>
    </w:p>
    <w:p w14:paraId="33C0F374" w14:textId="79937753" w:rsidR="00843F51" w:rsidRPr="00E97C63" w:rsidRDefault="00597036" w:rsidP="00963D6A">
      <w:pPr>
        <w:pStyle w:val="Marge"/>
        <w:numPr>
          <w:ilvl w:val="0"/>
          <w:numId w:val="62"/>
        </w:numPr>
        <w:tabs>
          <w:tab w:val="clear" w:pos="567"/>
        </w:tabs>
        <w:ind w:left="1134" w:hanging="567"/>
      </w:pPr>
      <w:r w:rsidRPr="00E97C63">
        <w:t>деятельность в прибрежных районах, в том числе освоение ресурсов океана, управление прибрежной зо</w:t>
      </w:r>
      <w:r w:rsidR="009646B1">
        <w:t>ной, рыболовство, промышленное/</w:t>
      </w:r>
      <w:r w:rsidRPr="00E97C63">
        <w:t>сельскохозяйственное производство и т.д.</w:t>
      </w:r>
    </w:p>
    <w:p w14:paraId="5334DB9B" w14:textId="5CCCC756" w:rsidR="00D22B5C" w:rsidRPr="00E97C63" w:rsidRDefault="00E4080B" w:rsidP="003B4A0F">
      <w:pPr>
        <w:spacing w:after="240"/>
        <w:jc w:val="both"/>
      </w:pPr>
      <w:r w:rsidRPr="00E97C63">
        <w:t>[Типовое разрешение координатной сетки используемых в этих целях продуктов ГЕБКО составляет 5''-10''.]</w:t>
      </w:r>
    </w:p>
    <w:p w14:paraId="2DD9B8CE" w14:textId="2BC56F88" w:rsidR="004F50CF" w:rsidRPr="009646B1" w:rsidRDefault="00ED3FC2" w:rsidP="001B2FE2">
      <w:pPr>
        <w:pStyle w:val="COI"/>
      </w:pPr>
      <w:r w:rsidRPr="00E97C63">
        <w:t>В целях поощрения потенциальных пользователей к формулированию конкретных запросов в отношении продуктов ГЕБКО было рекомендовано разработать и реализовать соответствующую информационную стратегию</w:t>
      </w:r>
      <w:r w:rsidR="009646B1">
        <w:t xml:space="preserve"> ГЕБКО</w:t>
      </w:r>
      <w:r w:rsidRPr="00E97C63">
        <w:t xml:space="preserve">. Кроме того, соответствующим учреждениям и заинтересованным сторонам было предложено определить на уровне своих </w:t>
      </w:r>
      <w:r w:rsidRPr="009646B1">
        <w:t>сетевых структур потребности в отношении данных и продуктов ГЕБКО.</w:t>
      </w:r>
    </w:p>
    <w:p w14:paraId="78003E1C" w14:textId="77777777" w:rsidR="002B46BF" w:rsidRPr="009646B1" w:rsidRDefault="002B46BF" w:rsidP="001B2FE2">
      <w:pPr>
        <w:pStyle w:val="Titre3"/>
      </w:pPr>
      <w:r w:rsidRPr="009646B1">
        <w:t>ЧАСТЬ II – СОТРУДНИЧЕСТВО</w:t>
      </w:r>
    </w:p>
    <w:p w14:paraId="3C5BA5F1" w14:textId="7DB0449C" w:rsidR="002B46BF" w:rsidRPr="00E97C63" w:rsidRDefault="002B46BF" w:rsidP="001B2FE2">
      <w:pPr>
        <w:pStyle w:val="Titre3"/>
      </w:pPr>
      <w:r w:rsidRPr="009646B1">
        <w:t>Сотрудничество в создании</w:t>
      </w:r>
      <w:r w:rsidRPr="00E97C63">
        <w:t xml:space="preserve"> баз данных и продуктов ГЕБКО (пункты 8 и 9 вопросника)</w:t>
      </w:r>
    </w:p>
    <w:p w14:paraId="22F9EC70" w14:textId="689285E6" w:rsidR="002B46BF" w:rsidRPr="00E97C63" w:rsidRDefault="00E4080B" w:rsidP="001B2FE2">
      <w:pPr>
        <w:pStyle w:val="COI"/>
      </w:pPr>
      <w:r w:rsidRPr="00E97C63">
        <w:t>Все представившие ответы государства-члены знакомы с продукцией ГЕБКО. РГ-СПЦО подчеркнула важность создания исчерпывающей базы батиметрических данных, в частности по прибрежной зоне, в целях совершенствования моделирования с высоким разрешением наводнений, вызванных цунами. При этом ни РГ-СПЦО, ни МООД напрямую не сотрудничают с ГЕБКО.</w:t>
      </w:r>
    </w:p>
    <w:p w14:paraId="68F04F04" w14:textId="12C38E5E" w:rsidR="00767257" w:rsidRPr="00E97C63" w:rsidRDefault="00440B91" w:rsidP="001B2FE2">
      <w:pPr>
        <w:pStyle w:val="COI"/>
      </w:pPr>
      <w:r w:rsidRPr="00E97C63">
        <w:t>В ответах была также подчеркнута важность разработки инструктивно-методических документов в отношении формата представления данных и другой метаинформации.</w:t>
      </w:r>
    </w:p>
    <w:p w14:paraId="2F21D081" w14:textId="73396984" w:rsidR="002B46BF" w:rsidRPr="00E97C63" w:rsidRDefault="00410117" w:rsidP="001B2FE2">
      <w:pPr>
        <w:pStyle w:val="Titre3"/>
      </w:pPr>
      <w:r w:rsidRPr="00E97C63">
        <w:t>Перспективы укрепления сотрудничества в области создания наборов данных и продуктов ГЕБКО (пункт 10 вопросника)</w:t>
      </w:r>
    </w:p>
    <w:p w14:paraId="3F48B244" w14:textId="0D3B134C" w:rsidR="005078D4" w:rsidRPr="00E97C63" w:rsidRDefault="00486051" w:rsidP="001B2FE2">
      <w:pPr>
        <w:pStyle w:val="COI"/>
      </w:pPr>
      <w:r w:rsidRPr="00E97C63">
        <w:t>Некоторые государства-члены предложили в дополнение к уже оказываемой поддержке дополнительную помощь в области создания наборов данных и продуктов ГЕБКО:</w:t>
      </w:r>
    </w:p>
    <w:p w14:paraId="62EBA687" w14:textId="77777777" w:rsidR="00A63CC4" w:rsidRPr="00E97C63" w:rsidRDefault="00176CD4" w:rsidP="00963D6A">
      <w:pPr>
        <w:pStyle w:val="Marge"/>
        <w:numPr>
          <w:ilvl w:val="0"/>
          <w:numId w:val="61"/>
        </w:numPr>
        <w:tabs>
          <w:tab w:val="clear" w:pos="567"/>
        </w:tabs>
        <w:ind w:left="1134" w:hanging="567"/>
      </w:pPr>
      <w:r w:rsidRPr="00E97C63">
        <w:t>содействие в обновлении газеттира ПНЭПР;</w:t>
      </w:r>
    </w:p>
    <w:p w14:paraId="61B29004" w14:textId="77777777" w:rsidR="002659F8" w:rsidRPr="00E97C63" w:rsidRDefault="00464583" w:rsidP="00963D6A">
      <w:pPr>
        <w:pStyle w:val="Marge"/>
        <w:numPr>
          <w:ilvl w:val="0"/>
          <w:numId w:val="61"/>
        </w:numPr>
        <w:tabs>
          <w:tab w:val="clear" w:pos="567"/>
        </w:tabs>
        <w:ind w:left="1134" w:hanging="567"/>
      </w:pPr>
      <w:r w:rsidRPr="00E97C63">
        <w:t>изучение возможности открытия онлайнового доступа к национальным батиметрическим данным или данным промера глубин;</w:t>
      </w:r>
    </w:p>
    <w:p w14:paraId="62759374" w14:textId="7442C298" w:rsidR="005078D4" w:rsidRPr="00E97C63" w:rsidRDefault="00464583" w:rsidP="00963D6A">
      <w:pPr>
        <w:pStyle w:val="Marge"/>
        <w:numPr>
          <w:ilvl w:val="0"/>
          <w:numId w:val="61"/>
        </w:numPr>
        <w:tabs>
          <w:tab w:val="clear" w:pos="567"/>
        </w:tabs>
        <w:ind w:left="1134" w:hanging="567"/>
      </w:pPr>
      <w:r w:rsidRPr="00E97C63">
        <w:t xml:space="preserve">участие в некоторых региональных </w:t>
      </w:r>
      <w:r w:rsidR="009646B1">
        <w:t xml:space="preserve">картографических </w:t>
      </w:r>
      <w:r w:rsidRPr="00E97C63">
        <w:t>проектах.</w:t>
      </w:r>
    </w:p>
    <w:p w14:paraId="3FC94F2D" w14:textId="1B04CC3D" w:rsidR="003E6719" w:rsidRPr="00E97C63" w:rsidRDefault="003E6719" w:rsidP="001B2FE2">
      <w:pPr>
        <w:pStyle w:val="Titre3"/>
      </w:pPr>
      <w:r w:rsidRPr="00E97C63">
        <w:t xml:space="preserve">Способы </w:t>
      </w:r>
      <w:r w:rsidR="009646B1">
        <w:t>наращивания</w:t>
      </w:r>
      <w:r w:rsidRPr="00E97C63">
        <w:t xml:space="preserve"> </w:t>
      </w:r>
      <w:r w:rsidR="009646B1">
        <w:t>объемов</w:t>
      </w:r>
      <w:r w:rsidRPr="00E97C63">
        <w:t xml:space="preserve"> данных ГЕБКО, получаемых в результате научной деятельности (пункт 11 вопросника)</w:t>
      </w:r>
    </w:p>
    <w:p w14:paraId="28EF4E2F" w14:textId="6FF0C875" w:rsidR="003E6719" w:rsidRPr="00E97C63" w:rsidRDefault="009646B1" w:rsidP="001B2FE2">
      <w:pPr>
        <w:pStyle w:val="COI"/>
      </w:pPr>
      <w:r>
        <w:t>Члены р</w:t>
      </w:r>
      <w:r w:rsidR="00284536" w:rsidRPr="00E97C63">
        <w:t>абочей группы определили возможные пути повышения наглядности представления данных и продуктов ГЕБКО, что призвано поощрять и стимулировать передачу ГЕБКО ба</w:t>
      </w:r>
      <w:r>
        <w:t>тиметрических данных, получаемых</w:t>
      </w:r>
      <w:r w:rsidR="00284536" w:rsidRPr="00E97C63">
        <w:t xml:space="preserve"> в результате научной деятельности:</w:t>
      </w:r>
    </w:p>
    <w:p w14:paraId="7F973CEF" w14:textId="0805D212" w:rsidR="00284536" w:rsidRPr="00E97C63" w:rsidRDefault="00284536" w:rsidP="00963D6A">
      <w:pPr>
        <w:pStyle w:val="Marge"/>
        <w:numPr>
          <w:ilvl w:val="0"/>
          <w:numId w:val="60"/>
        </w:numPr>
        <w:tabs>
          <w:tab w:val="clear" w:pos="567"/>
        </w:tabs>
        <w:ind w:left="1134" w:hanging="567"/>
      </w:pPr>
      <w:r w:rsidRPr="00E97C63">
        <w:t>представление докладов на научных конференциях, в ходе которых обсуждается тематика сбора батиметрических данных;</w:t>
      </w:r>
    </w:p>
    <w:p w14:paraId="68099130" w14:textId="62F64B3C" w:rsidR="00EA7C9A" w:rsidRPr="00E97C63" w:rsidRDefault="00EA7C9A" w:rsidP="00963D6A">
      <w:pPr>
        <w:pStyle w:val="Marge"/>
        <w:numPr>
          <w:ilvl w:val="0"/>
          <w:numId w:val="60"/>
        </w:numPr>
        <w:tabs>
          <w:tab w:val="clear" w:pos="567"/>
        </w:tabs>
        <w:ind w:left="1134" w:hanging="567"/>
      </w:pPr>
      <w:r w:rsidRPr="00E97C63">
        <w:t>прямые контакты с конкретными научными группами;</w:t>
      </w:r>
    </w:p>
    <w:p w14:paraId="5213BBB9" w14:textId="1DB137D5" w:rsidR="00EA7C9A" w:rsidRPr="00E97C63" w:rsidRDefault="008D0EB0" w:rsidP="00963D6A">
      <w:pPr>
        <w:pStyle w:val="Marge"/>
        <w:numPr>
          <w:ilvl w:val="0"/>
          <w:numId w:val="60"/>
        </w:numPr>
        <w:tabs>
          <w:tab w:val="clear" w:pos="567"/>
        </w:tabs>
        <w:ind w:left="1134" w:hanging="567"/>
      </w:pPr>
      <w:r w:rsidRPr="00E97C63">
        <w:t>популяризация и распространение продукции ГЕБКО и озвучивание потребностей в батиметрических данных в рамках проведения связанных с МОК совещаний;</w:t>
      </w:r>
    </w:p>
    <w:p w14:paraId="5A158784" w14:textId="77777777" w:rsidR="00EA7C9A" w:rsidRPr="00E97C63" w:rsidRDefault="008D0EB0" w:rsidP="00963D6A">
      <w:pPr>
        <w:pStyle w:val="Marge"/>
        <w:numPr>
          <w:ilvl w:val="0"/>
          <w:numId w:val="60"/>
        </w:numPr>
        <w:tabs>
          <w:tab w:val="clear" w:pos="567"/>
        </w:tabs>
        <w:ind w:left="1134" w:hanging="567"/>
      </w:pPr>
      <w:r w:rsidRPr="00E97C63">
        <w:t>использование возможностей социальных сетей для распространения информации о картографических проектах;</w:t>
      </w:r>
    </w:p>
    <w:p w14:paraId="06FCAE98" w14:textId="4A0BE76B" w:rsidR="003E6719" w:rsidRPr="00E97C63" w:rsidRDefault="008D0EB0" w:rsidP="00963D6A">
      <w:pPr>
        <w:pStyle w:val="Marge"/>
        <w:numPr>
          <w:ilvl w:val="0"/>
          <w:numId w:val="60"/>
        </w:numPr>
        <w:tabs>
          <w:tab w:val="clear" w:pos="567"/>
        </w:tabs>
        <w:ind w:left="1134" w:hanging="567"/>
      </w:pPr>
      <w:r w:rsidRPr="00E97C63">
        <w:t>продвижение продукции ГЕБКО среди имеющихся и потенциальных пользователей.</w:t>
      </w:r>
    </w:p>
    <w:p w14:paraId="26C2B651" w14:textId="45B9CE9C" w:rsidR="00E81972" w:rsidRPr="00E97C63" w:rsidRDefault="00E81972" w:rsidP="001B2FE2">
      <w:pPr>
        <w:pStyle w:val="Titre3"/>
      </w:pPr>
      <w:r w:rsidRPr="00E97C63">
        <w:lastRenderedPageBreak/>
        <w:t>Потребности в развитии потенциала, касающегося продуктов ГЕБКО (пункт 12 вопросника)</w:t>
      </w:r>
    </w:p>
    <w:p w14:paraId="16D904A4" w14:textId="72DF02F3" w:rsidR="00E81972" w:rsidRPr="00E97C63" w:rsidRDefault="008D0EB0" w:rsidP="001B2FE2">
      <w:pPr>
        <w:pStyle w:val="COI"/>
      </w:pPr>
      <w:r w:rsidRPr="00E97C63">
        <w:t>В отношении сообществ, желающих использовать</w:t>
      </w:r>
      <w:r w:rsidR="009646B1">
        <w:t xml:space="preserve"> данные и продукты ГЕБКО члены р</w:t>
      </w:r>
      <w:r w:rsidRPr="00E97C63">
        <w:t>абочей группы отметили следующие потребности в области развития потенциала:</w:t>
      </w:r>
    </w:p>
    <w:p w14:paraId="1E93B86F" w14:textId="77777777" w:rsidR="00E81972" w:rsidRPr="00E97C63" w:rsidRDefault="00E81972" w:rsidP="00963D6A">
      <w:pPr>
        <w:pStyle w:val="Marge"/>
        <w:numPr>
          <w:ilvl w:val="0"/>
          <w:numId w:val="59"/>
        </w:numPr>
        <w:tabs>
          <w:tab w:val="clear" w:pos="567"/>
        </w:tabs>
        <w:ind w:left="1134" w:hanging="567"/>
      </w:pPr>
      <w:r w:rsidRPr="00E97C63">
        <w:t>проведение ознакомительных учебных курсов по использованию данных и продуктов ГЕБКО;</w:t>
      </w:r>
    </w:p>
    <w:p w14:paraId="24173E49" w14:textId="037F4A14" w:rsidR="008D0EB0" w:rsidRPr="00E97C63" w:rsidRDefault="008D0EB0" w:rsidP="00963D6A">
      <w:pPr>
        <w:pStyle w:val="Marge"/>
        <w:numPr>
          <w:ilvl w:val="0"/>
          <w:numId w:val="59"/>
        </w:numPr>
        <w:tabs>
          <w:tab w:val="clear" w:pos="567"/>
        </w:tabs>
        <w:ind w:left="1134" w:hanging="567"/>
      </w:pPr>
      <w:r w:rsidRPr="00E97C63">
        <w:t xml:space="preserve">разработка и размещение в социальных сетях обучающих </w:t>
      </w:r>
      <w:r w:rsidR="009646B1">
        <w:t>модулей</w:t>
      </w:r>
      <w:r w:rsidRPr="00E97C63">
        <w:t xml:space="preserve"> по использованию продуктов ГЕБКО;</w:t>
      </w:r>
    </w:p>
    <w:p w14:paraId="2ABD46B2" w14:textId="181A3297" w:rsidR="008A0422" w:rsidRPr="00E97C63" w:rsidRDefault="008A0422" w:rsidP="00963D6A">
      <w:pPr>
        <w:pStyle w:val="Marge"/>
        <w:numPr>
          <w:ilvl w:val="0"/>
          <w:numId w:val="59"/>
        </w:numPr>
        <w:tabs>
          <w:tab w:val="clear" w:pos="567"/>
        </w:tabs>
        <w:ind w:left="1134" w:hanging="567"/>
      </w:pPr>
      <w:r w:rsidRPr="00E97C63">
        <w:t>обучение использованию данных ГЕБКО для экосистемного моделирования и выявления «проблемных» с точки зрения цунами, штормовой опасности и т.п. прибрежных участков.</w:t>
      </w:r>
    </w:p>
    <w:p w14:paraId="3A4DDBC7" w14:textId="5216CA37" w:rsidR="000C5724" w:rsidRPr="00E97C63" w:rsidRDefault="00ED2B39" w:rsidP="001B2FE2">
      <w:pPr>
        <w:pStyle w:val="COI"/>
      </w:pPr>
      <w:r w:rsidRPr="00E97C63">
        <w:t xml:space="preserve">МООД </w:t>
      </w:r>
      <w:r w:rsidR="009646B1" w:rsidRPr="00E97C63">
        <w:t>с помощью Глобальной академии «Океан-инструктор» (ГАОИ)</w:t>
      </w:r>
      <w:r w:rsidR="009646B1">
        <w:t xml:space="preserve"> </w:t>
      </w:r>
      <w:r w:rsidRPr="00E97C63">
        <w:t xml:space="preserve">содействовала укреплению потенциала в </w:t>
      </w:r>
      <w:r w:rsidR="009646B1">
        <w:t>отношении использования</w:t>
      </w:r>
      <w:r w:rsidRPr="00E97C63">
        <w:t xml:space="preserve"> океанографических данных и приложений. В ряде образовательных программ ГАОИ используются учебные материалы, подготовленные на основе продуктов ГЕБКО.</w:t>
      </w:r>
    </w:p>
    <w:p w14:paraId="57F53536" w14:textId="59F99F47" w:rsidR="004F50CF" w:rsidRPr="009646B1" w:rsidRDefault="00067F82" w:rsidP="001B2FE2">
      <w:pPr>
        <w:pStyle w:val="COI"/>
      </w:pPr>
      <w:r w:rsidRPr="00E97C63">
        <w:t xml:space="preserve">Потенциально полезным было названо создание открытого форума по обмену опытом в </w:t>
      </w:r>
      <w:r w:rsidRPr="009646B1">
        <w:t>вопросах картирования с использованием программных продуктов ГЕБКО.</w:t>
      </w:r>
    </w:p>
    <w:p w14:paraId="32AB6735" w14:textId="77777777" w:rsidR="00DE2F65" w:rsidRPr="009646B1" w:rsidRDefault="006D2C51" w:rsidP="001B2FE2">
      <w:pPr>
        <w:pStyle w:val="Titre3"/>
      </w:pPr>
      <w:r w:rsidRPr="009646B1">
        <w:t>Выводы и рекомендации</w:t>
      </w:r>
    </w:p>
    <w:p w14:paraId="6CAEAAF1" w14:textId="4702BFAD" w:rsidR="002659F8" w:rsidRPr="00E97C63" w:rsidRDefault="008E3080" w:rsidP="001B2FE2">
      <w:pPr>
        <w:pStyle w:val="COI"/>
      </w:pPr>
      <w:r w:rsidRPr="00E97C63">
        <w:t xml:space="preserve">Все </w:t>
      </w:r>
      <w:r w:rsidR="009646B1">
        <w:t xml:space="preserve">ответившие на вопросник </w:t>
      </w:r>
      <w:r w:rsidRPr="00E97C63">
        <w:t>государства-члены п</w:t>
      </w:r>
      <w:r w:rsidR="009646B1">
        <w:t>одтвердили</w:t>
      </w:r>
      <w:r w:rsidRPr="00E97C63">
        <w:t xml:space="preserve"> интерес к продуктам ГЕБКО и считают их полезными для своей деятельности. Ряду программ МОК требуются как «традиционные» продукты ГЕБКО (для районов с глубиной свыше 200 м), так и продукты «для мелководья». Наибольшую актуальность представляют продукты ГЕБКО для небольших глубин, поскольку они находят применение в таких широко распространенных видах деяте</w:t>
      </w:r>
      <w:r w:rsidR="009646B1">
        <w:t>льности, как изучение экосистем и</w:t>
      </w:r>
      <w:r w:rsidRPr="00E97C63">
        <w:t xml:space="preserve"> прогнозирование цунами и штормовых нагонов на отдельных участках береговой линии. Требуемое разрешение координатной сетки для «мелководных» продуктов ГЕБКО составляет от 30 угловых секунд до 4 угловых минут.</w:t>
      </w:r>
    </w:p>
    <w:p w14:paraId="64FA8099" w14:textId="3A177795" w:rsidR="002659F8" w:rsidRPr="00E97C63" w:rsidRDefault="00BE6E8E" w:rsidP="001B2FE2">
      <w:pPr>
        <w:pStyle w:val="COI"/>
      </w:pPr>
      <w:r w:rsidRPr="00E97C63">
        <w:t>Сообщества пользователей продуктов ГЕБКО и производители собственных батиметрических данных нуждаются в дополнительном обучении по вопросах использования продук</w:t>
      </w:r>
      <w:r w:rsidR="009646B1">
        <w:t>ции</w:t>
      </w:r>
      <w:r w:rsidRPr="00E97C63">
        <w:t xml:space="preserve"> ГЕБКО.</w:t>
      </w:r>
    </w:p>
    <w:p w14:paraId="3AEAD9CE" w14:textId="1FF69594" w:rsidR="00DC2DE3" w:rsidRPr="00E97C63" w:rsidRDefault="00DC2DE3" w:rsidP="001B2FE2">
      <w:pPr>
        <w:pStyle w:val="COI"/>
      </w:pPr>
      <w:r w:rsidRPr="00E97C63">
        <w:t>С учетом востребованности данных и продуктов ГЕБКО в рамках программ и мероприятий МО</w:t>
      </w:r>
      <w:r w:rsidR="009646B1">
        <w:t>К необходимо, чтобы МОК продолжи</w:t>
      </w:r>
      <w:r w:rsidRPr="00E97C63">
        <w:t xml:space="preserve">ла свое участие в проекте ГЕБКО и </w:t>
      </w:r>
      <w:r w:rsidR="009646B1">
        <w:t xml:space="preserve">в </w:t>
      </w:r>
      <w:r w:rsidRPr="00E97C63">
        <w:t xml:space="preserve">деятельности постоянной рабочей группы, занимающейся сбором и обобщением информации о потребностях пользователей МОК и </w:t>
      </w:r>
      <w:r w:rsidR="002A04D1">
        <w:t xml:space="preserve">о </w:t>
      </w:r>
      <w:r w:rsidRPr="00E97C63">
        <w:t>возможно</w:t>
      </w:r>
      <w:r w:rsidR="002A04D1">
        <w:t>стях сотрудничества</w:t>
      </w:r>
      <w:r w:rsidRPr="00E97C63">
        <w:t xml:space="preserve"> в создании продуктов ГЕБКО.</w:t>
      </w:r>
    </w:p>
    <w:p w14:paraId="5EB28282" w14:textId="407D22C3" w:rsidR="00DC2DE3" w:rsidRPr="00E97C63" w:rsidRDefault="00A82D45" w:rsidP="001B2FE2">
      <w:pPr>
        <w:pStyle w:val="COI"/>
      </w:pPr>
      <w:r w:rsidRPr="00E97C63">
        <w:t xml:space="preserve">Учитывая, что программа ГЕБКО является совместным с Международной гидрографической организацией </w:t>
      </w:r>
      <w:r w:rsidR="002A04D1">
        <w:t xml:space="preserve">(МГО) </w:t>
      </w:r>
      <w:r w:rsidRPr="00E97C63">
        <w:t>проектом МОК, специалистам океанографического сообщества МОК рекомендуется более активно сотрудничать с гидрографическими службами своих стран в вопросах содействия производству данных и продуктов ГЕБКО.</w:t>
      </w:r>
    </w:p>
    <w:p w14:paraId="0145AACB" w14:textId="5DF52461" w:rsidR="00F571B0" w:rsidRPr="00E97C63" w:rsidRDefault="00F571B0" w:rsidP="001B2FE2">
      <w:pPr>
        <w:pStyle w:val="COI"/>
      </w:pPr>
      <w:r w:rsidRPr="00E97C63">
        <w:t xml:space="preserve">И последнее, с учетом того, что потребности пользователей не могут существенно меняться из года в год, обзор потребностей пользователей предлагается проводить один раз в четыре года, а не на двухгодичной основе, как это первоначально было установлено Исполнительным советом МОК. Следует </w:t>
      </w:r>
      <w:r w:rsidR="002A04D1">
        <w:t xml:space="preserve">также </w:t>
      </w:r>
      <w:r w:rsidRPr="00E97C63">
        <w:t>напомнить, что аналогичн</w:t>
      </w:r>
      <w:r w:rsidR="002A04D1">
        <w:t>ый обзор</w:t>
      </w:r>
      <w:r w:rsidRPr="00E97C63">
        <w:t xml:space="preserve"> был</w:t>
      </w:r>
      <w:r w:rsidR="002A04D1">
        <w:t xml:space="preserve"> проведен</w:t>
      </w:r>
      <w:r w:rsidRPr="00E97C63">
        <w:t xml:space="preserve"> в 2015-2016 гг. Полученные результаты доступны по ссылке </w:t>
      </w:r>
      <w:hyperlink r:id="rId22" w:history="1">
        <w:r w:rsidRPr="00E97C63">
          <w:rPr>
            <w:rStyle w:val="Lienhypertexte"/>
          </w:rPr>
          <w:t>IOC/EC-XLIX/2 Annex 8</w:t>
        </w:r>
      </w:hyperlink>
      <w:r w:rsidRPr="00E97C63">
        <w:t>.</w:t>
      </w:r>
    </w:p>
    <w:p w14:paraId="68B5E0FF" w14:textId="77777777" w:rsidR="00DE2F65" w:rsidRPr="00E97C63" w:rsidRDefault="00F22DA5" w:rsidP="001B2FE2">
      <w:pPr>
        <w:pStyle w:val="Titre3"/>
      </w:pPr>
      <w:r w:rsidRPr="00E97C63">
        <w:t>Предлагаемое решение</w:t>
      </w:r>
    </w:p>
    <w:p w14:paraId="248579C5" w14:textId="0A4FA293" w:rsidR="00F22DA5" w:rsidRPr="00E97C63" w:rsidRDefault="008E5F8B" w:rsidP="001B2FE2">
      <w:pPr>
        <w:pStyle w:val="COI"/>
      </w:pPr>
      <w:r w:rsidRPr="00E97C63">
        <w:t>В свете вышеизложенного Исполнительному совету МОК предлагается рассмотреть содержащийся в документе о принятых и предлагаемых мерах (документ IOC/EC-LI/2 Prov.) проект решения EC-LI/</w:t>
      </w:r>
      <w:r w:rsidR="00E97C63">
        <w:t>4.5</w:t>
      </w:r>
      <w:r w:rsidRPr="00E97C63">
        <w:t>.</w:t>
      </w:r>
    </w:p>
    <w:p w14:paraId="2F9D456C" w14:textId="77777777" w:rsidR="00F22DA5" w:rsidRPr="00E97C63" w:rsidRDefault="00F22DA5" w:rsidP="00963D6A">
      <w:pPr>
        <w:pStyle w:val="Marge"/>
      </w:pPr>
    </w:p>
    <w:p w14:paraId="3F7D0552" w14:textId="77777777" w:rsidR="008E5F8B" w:rsidRPr="00E97C63" w:rsidRDefault="008E5F8B" w:rsidP="00F22DA5">
      <w:pPr>
        <w:pStyle w:val="Marge"/>
      </w:pPr>
    </w:p>
    <w:p w14:paraId="3A41E066" w14:textId="77777777" w:rsidR="00B407B3" w:rsidRPr="00E97C63" w:rsidRDefault="00B407B3" w:rsidP="001B2FE2">
      <w:pPr>
        <w:pStyle w:val="COI"/>
        <w:sectPr w:rsidR="00B407B3" w:rsidRPr="00E97C63" w:rsidSect="003F7186">
          <w:headerReference w:type="even" r:id="rId23"/>
          <w:headerReference w:type="default" r:id="rId24"/>
          <w:headerReference w:type="first" r:id="rId25"/>
          <w:type w:val="oddPage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0C4A7915" w14:textId="57040922" w:rsidR="00AF65FC" w:rsidRPr="001B2FE2" w:rsidRDefault="00713B0F" w:rsidP="00AF65FC">
      <w:pPr>
        <w:jc w:val="center"/>
        <w:rPr>
          <w:u w:val="single"/>
          <w:lang w:val="en-US"/>
        </w:rPr>
      </w:pPr>
      <w:r w:rsidRPr="00E97C63">
        <w:rPr>
          <w:u w:val="single"/>
          <w:lang w:val="en-US"/>
        </w:rPr>
        <w:lastRenderedPageBreak/>
        <w:t>A</w:t>
      </w:r>
      <w:r w:rsidR="001B2FE2">
        <w:rPr>
          <w:u w:val="single"/>
          <w:lang w:val="en-US"/>
        </w:rPr>
        <w:t>ppendix</w:t>
      </w:r>
    </w:p>
    <w:p w14:paraId="2013CDCF" w14:textId="77777777" w:rsidR="00F94787" w:rsidRPr="00E97C63" w:rsidRDefault="00F94787" w:rsidP="00AF65FC">
      <w:pPr>
        <w:jc w:val="center"/>
        <w:rPr>
          <w:lang w:val="en-US"/>
        </w:rPr>
      </w:pPr>
    </w:p>
    <w:p w14:paraId="75296F7B" w14:textId="0820E69D" w:rsidR="00C3684D" w:rsidRDefault="00C3684D" w:rsidP="001B2FE2">
      <w:pPr>
        <w:pStyle w:val="COI"/>
        <w:numPr>
          <w:ilvl w:val="0"/>
          <w:numId w:val="0"/>
        </w:numPr>
        <w:rPr>
          <w:lang w:val="en-GB"/>
        </w:rPr>
      </w:pPr>
    </w:p>
    <w:p w14:paraId="713BD77E" w14:textId="77777777" w:rsidR="00C05768" w:rsidRPr="00E97C63" w:rsidRDefault="00C05768" w:rsidP="001B2FE2">
      <w:pPr>
        <w:pStyle w:val="COI"/>
        <w:numPr>
          <w:ilvl w:val="0"/>
          <w:numId w:val="0"/>
        </w:numPr>
        <w:rPr>
          <w:lang w:val="en-GB"/>
        </w:rPr>
      </w:pPr>
    </w:p>
    <w:sectPr w:rsidR="00C05768" w:rsidRPr="00E97C63" w:rsidSect="00C05768">
      <w:headerReference w:type="default" r:id="rId2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8D1B" w14:textId="77777777" w:rsidR="00963D6A" w:rsidRDefault="00963D6A">
      <w:r>
        <w:separator/>
      </w:r>
    </w:p>
  </w:endnote>
  <w:endnote w:type="continuationSeparator" w:id="0">
    <w:p w14:paraId="2B4FCFD9" w14:textId="77777777" w:rsidR="00963D6A" w:rsidRDefault="009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C03E" w14:textId="77777777" w:rsidR="00963D6A" w:rsidRDefault="00963D6A">
      <w:r>
        <w:separator/>
      </w:r>
    </w:p>
  </w:footnote>
  <w:footnote w:type="continuationSeparator" w:id="0">
    <w:p w14:paraId="5CB36EF3" w14:textId="77777777" w:rsidR="00963D6A" w:rsidRDefault="00963D6A">
      <w:r>
        <w:continuationSeparator/>
      </w:r>
    </w:p>
  </w:footnote>
  <w:footnote w:id="1">
    <w:p w14:paraId="359D1B75" w14:textId="2AD623BF" w:rsidR="00963D6A" w:rsidRPr="00E97C63" w:rsidRDefault="00963D6A" w:rsidP="001B2F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С перечнем наборов данных и продуктов можно ознакомиться по ссылке: </w:t>
      </w:r>
      <w:hyperlink r:id="rId1" w:history="1">
        <w:r>
          <w:rPr>
            <w:rStyle w:val="Lienhypertexte"/>
          </w:rPr>
          <w:t>https://www.gebco.net/data_and_products/</w:t>
        </w:r>
      </w:hyperlink>
      <w:r w:rsidR="001B2FE2" w:rsidRPr="001B2FE2">
        <w:rPr>
          <w:rStyle w:val="Lienhypertexte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8F27" w14:textId="77777777" w:rsidR="00963D6A" w:rsidRPr="00E97C63" w:rsidRDefault="00963D6A">
    <w:pPr>
      <w:pStyle w:val="En-tte"/>
      <w:rPr>
        <w:szCs w:val="22"/>
        <w:lang w:val="en-US"/>
      </w:rPr>
    </w:pPr>
    <w:r w:rsidRPr="00E97C63">
      <w:rPr>
        <w:lang w:val="en-US"/>
      </w:rPr>
      <w:t>ICG/CARIBE-EWS II/WD </w:t>
    </w:r>
    <w:r w:rsidRPr="00E97C63">
      <w:rPr>
        <w:szCs w:val="22"/>
        <w:highlight w:val="cyan"/>
        <w:lang w:val="en-US"/>
      </w:rPr>
      <w:t>__</w:t>
    </w:r>
  </w:p>
  <w:p w14:paraId="6E13A827" w14:textId="77777777" w:rsidR="00963D6A" w:rsidRPr="00C962F0" w:rsidRDefault="00963D6A">
    <w:pPr>
      <w:pStyle w:val="En-tte"/>
      <w:rPr>
        <w:szCs w:val="22"/>
      </w:rPr>
    </w:pPr>
    <w:r>
      <w:t>Page </w:t>
    </w:r>
    <w:r w:rsidRPr="00C962F0">
      <w:rPr>
        <w:rStyle w:val="Numrodepage"/>
        <w:szCs w:val="22"/>
      </w:rPr>
      <w:fldChar w:fldCharType="begin"/>
    </w:r>
    <w:r w:rsidRPr="00C962F0">
      <w:rPr>
        <w:rStyle w:val="Numrodepage"/>
        <w:szCs w:val="22"/>
      </w:rPr>
      <w:instrText xml:space="preserve"> PAGE </w:instrText>
    </w:r>
    <w:r w:rsidRPr="00C962F0">
      <w:rPr>
        <w:rStyle w:val="Numrodepage"/>
        <w:szCs w:val="22"/>
      </w:rPr>
      <w:fldChar w:fldCharType="separate"/>
    </w:r>
    <w:r>
      <w:rPr>
        <w:rStyle w:val="Numrodepage"/>
        <w:szCs w:val="22"/>
      </w:rPr>
      <w:t>2</w:t>
    </w:r>
    <w:r w:rsidRPr="00C962F0">
      <w:rPr>
        <w:rStyle w:val="Numrodepage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F4DB" w14:textId="77777777" w:rsidR="00963D6A" w:rsidRPr="00746B89" w:rsidRDefault="00963D6A" w:rsidP="00DF2FB9">
    <w:pPr>
      <w:pStyle w:val="En-tte"/>
      <w:tabs>
        <w:tab w:val="clear" w:pos="8306"/>
      </w:tabs>
      <w:rPr>
        <w:szCs w:val="22"/>
      </w:rPr>
    </w:pPr>
    <w:r>
      <w:t xml:space="preserve">IOC-XXIV/2 Annex </w:t>
    </w:r>
    <w:r>
      <w:rPr>
        <w:szCs w:val="22"/>
        <w:highlight w:val="yellow"/>
      </w:rPr>
      <w:t>__</w:t>
    </w:r>
  </w:p>
  <w:p w14:paraId="78A42D28" w14:textId="77777777" w:rsidR="00963D6A" w:rsidRPr="00746B89" w:rsidRDefault="00963D6A" w:rsidP="00DF2FB9">
    <w:pPr>
      <w:pStyle w:val="En-tte"/>
      <w:tabs>
        <w:tab w:val="clear" w:pos="8306"/>
      </w:tabs>
      <w:rPr>
        <w:szCs w:val="22"/>
      </w:rPr>
    </w:pPr>
    <w:r>
      <w:t>Page </w:t>
    </w:r>
    <w:r w:rsidRPr="00746B89">
      <w:rPr>
        <w:rStyle w:val="Numrodepage"/>
        <w:szCs w:val="22"/>
      </w:rPr>
      <w:fldChar w:fldCharType="begin"/>
    </w:r>
    <w:r w:rsidRPr="00746B89">
      <w:rPr>
        <w:rStyle w:val="Numrodepage"/>
        <w:szCs w:val="22"/>
      </w:rPr>
      <w:instrText xml:space="preserve"> PAGE </w:instrText>
    </w:r>
    <w:r w:rsidRPr="00746B89">
      <w:rPr>
        <w:rStyle w:val="Numrodepage"/>
        <w:szCs w:val="22"/>
      </w:rPr>
      <w:fldChar w:fldCharType="separate"/>
    </w:r>
    <w:r>
      <w:rPr>
        <w:rStyle w:val="Numrodepage"/>
        <w:szCs w:val="22"/>
      </w:rPr>
      <w:t>3</w:t>
    </w:r>
    <w:r w:rsidRPr="00746B89">
      <w:rPr>
        <w:rStyle w:val="Numrodepage"/>
        <w:szCs w:val="22"/>
      </w:rPr>
      <w:fldChar w:fldCharType="end"/>
    </w:r>
  </w:p>
  <w:p w14:paraId="4D653FD4" w14:textId="77777777" w:rsidR="00963D6A" w:rsidRPr="00DF2FB9" w:rsidRDefault="00963D6A" w:rsidP="00DF2FB9">
    <w:pPr>
      <w:pStyle w:val="En-tt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BC80" w14:textId="3CE98599" w:rsidR="00963D6A" w:rsidRDefault="00963D6A" w:rsidP="00963D6A">
    <w:pPr>
      <w:pStyle w:val="Marge"/>
      <w:tabs>
        <w:tab w:val="left" w:pos="5670"/>
      </w:tabs>
      <w:spacing w:after="0"/>
      <w:rPr>
        <w:rFonts w:cs="Arial"/>
        <w:b/>
        <w:szCs w:val="22"/>
      </w:rPr>
    </w:pPr>
    <w:r>
      <w:t xml:space="preserve">Рассылается по списку </w:t>
    </w:r>
    <w:r>
      <w:tab/>
    </w:r>
    <w:r w:rsidRPr="007B045D">
      <w:rPr>
        <w:b/>
        <w:sz w:val="32"/>
        <w:szCs w:val="32"/>
      </w:rPr>
      <w:t>IOC/EC-LI/2 Annex 7</w:t>
    </w:r>
  </w:p>
  <w:p w14:paraId="67017861" w14:textId="13A1BD1A" w:rsidR="00963D6A" w:rsidRPr="005E544C" w:rsidRDefault="00963D6A" w:rsidP="001E690F">
    <w:pPr>
      <w:tabs>
        <w:tab w:val="clear" w:pos="567"/>
        <w:tab w:val="left" w:pos="5670"/>
      </w:tabs>
      <w:jc w:val="both"/>
      <w:rPr>
        <w:rFonts w:cs="Arial"/>
        <w:szCs w:val="22"/>
      </w:rPr>
    </w:pPr>
    <w:r>
      <w:rPr>
        <w:b/>
        <w:szCs w:val="22"/>
      </w:rPr>
      <w:tab/>
    </w:r>
    <w:r>
      <w:t>Париж, 8 июня 2018 г.</w:t>
    </w:r>
  </w:p>
  <w:p w14:paraId="3E740112" w14:textId="77777777" w:rsidR="00963D6A" w:rsidRPr="005E544C" w:rsidRDefault="00963D6A" w:rsidP="001E690F">
    <w:pPr>
      <w:tabs>
        <w:tab w:val="clear" w:pos="567"/>
        <w:tab w:val="left" w:pos="5670"/>
      </w:tabs>
      <w:jc w:val="both"/>
      <w:rPr>
        <w:rFonts w:cs="Arial"/>
        <w:szCs w:val="22"/>
      </w:rPr>
    </w:pPr>
    <w:r>
      <w:rPr>
        <w:b/>
        <w:szCs w:val="22"/>
      </w:rPr>
      <w:tab/>
    </w:r>
    <w:r>
      <w:t>Оригинал: английский</w:t>
    </w:r>
  </w:p>
  <w:p w14:paraId="0359F598" w14:textId="77777777" w:rsidR="00963D6A" w:rsidRPr="005E544C" w:rsidRDefault="00963D6A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2D2F8AD5" w14:textId="77777777" w:rsidR="00963D6A" w:rsidRPr="005E544C" w:rsidRDefault="00963D6A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13EDD337" w14:textId="77777777" w:rsidR="00963D6A" w:rsidRPr="00010BBB" w:rsidRDefault="00963D6A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noProof/>
        <w:snapToGrid/>
        <w:szCs w:val="22"/>
        <w:lang w:val="fr-FR" w:eastAsia="fr-FR"/>
      </w:rPr>
      <w:drawing>
        <wp:anchor distT="0" distB="0" distL="114300" distR="114300" simplePos="0" relativeHeight="251657728" behindDoc="1" locked="0" layoutInCell="1" allowOverlap="1" wp14:anchorId="25531441" wp14:editId="7F3CD382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МЕЖПРАВИТЕЛЬСТВЕННАЯ ОКЕАНОГРАФИЧЕСКАЯ КОМИССИЯ</w:t>
    </w:r>
  </w:p>
  <w:p w14:paraId="25CCA38C" w14:textId="77777777" w:rsidR="00963D6A" w:rsidRPr="003561BE" w:rsidRDefault="00963D6A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bCs/>
        <w:sz w:val="24"/>
      </w:rPr>
    </w:pPr>
    <w:r>
      <w:rPr>
        <w:b/>
        <w:bCs/>
        <w:sz w:val="24"/>
      </w:rPr>
      <w:t>(ЮНЕСКО)</w:t>
    </w:r>
  </w:p>
  <w:p w14:paraId="36AAFF09" w14:textId="77777777" w:rsidR="00963D6A" w:rsidRPr="005E544C" w:rsidRDefault="00963D6A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5906D98E" w14:textId="77777777" w:rsidR="00963D6A" w:rsidRPr="00294AD5" w:rsidRDefault="00963D6A" w:rsidP="00294AD5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b/>
        <w:sz w:val="24"/>
      </w:rPr>
      <w:t>Пятьдесят первая сессия Исполнительного совета</w:t>
    </w:r>
  </w:p>
  <w:p w14:paraId="76D4FBE4" w14:textId="77777777" w:rsidR="00963D6A" w:rsidRPr="00294AD5" w:rsidRDefault="00963D6A" w:rsidP="00294AD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sz w:val="24"/>
      </w:rPr>
      <w:t>ЮНЕСКО, Париж, 3-6 июля 2018 г.</w:t>
    </w:r>
  </w:p>
  <w:p w14:paraId="63D05BD4" w14:textId="77777777" w:rsidR="00963D6A" w:rsidRPr="005E544C" w:rsidRDefault="00963D6A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4B5FB38D" w14:textId="77777777" w:rsidR="00963D6A" w:rsidRPr="005E544C" w:rsidRDefault="00963D6A" w:rsidP="00DF2FB9">
    <w:pPr>
      <w:jc w:val="center"/>
      <w:rPr>
        <w:rFonts w:cs="Arial"/>
        <w:szCs w:val="22"/>
      </w:rPr>
    </w:pPr>
  </w:p>
  <w:p w14:paraId="3177F267" w14:textId="77777777" w:rsidR="00963D6A" w:rsidRDefault="00963D6A" w:rsidP="00DF2FB9">
    <w:pPr>
      <w:jc w:val="center"/>
      <w:rPr>
        <w:rFonts w:cs="Arial"/>
        <w:szCs w:val="22"/>
      </w:rPr>
    </w:pPr>
  </w:p>
  <w:p w14:paraId="619B2C83" w14:textId="77777777" w:rsidR="00963D6A" w:rsidRDefault="00963D6A" w:rsidP="00DF2FB9">
    <w:pPr>
      <w:jc w:val="center"/>
      <w:rPr>
        <w:rFonts w:cs="Arial"/>
        <w:szCs w:val="22"/>
      </w:rPr>
    </w:pPr>
  </w:p>
  <w:p w14:paraId="1907884A" w14:textId="77777777" w:rsidR="00963D6A" w:rsidRDefault="00963D6A" w:rsidP="00DF2FB9">
    <w:pPr>
      <w:jc w:val="center"/>
      <w:rPr>
        <w:rFonts w:cs="Arial"/>
        <w:szCs w:val="22"/>
      </w:rPr>
    </w:pPr>
  </w:p>
  <w:p w14:paraId="51044B89" w14:textId="77777777" w:rsidR="00963D6A" w:rsidRPr="005E544C" w:rsidRDefault="00963D6A" w:rsidP="00DF2FB9">
    <w:pPr>
      <w:jc w:val="center"/>
      <w:rPr>
        <w:rFonts w:cs="Arial"/>
        <w:szCs w:val="22"/>
      </w:rPr>
    </w:pPr>
  </w:p>
  <w:p w14:paraId="2CD299A4" w14:textId="77777777" w:rsidR="00963D6A" w:rsidRPr="005E544C" w:rsidRDefault="00963D6A" w:rsidP="00DF2FB9">
    <w:pPr>
      <w:jc w:val="center"/>
      <w:rPr>
        <w:rFonts w:cs="Arial"/>
        <w:szCs w:val="22"/>
      </w:rPr>
    </w:pPr>
  </w:p>
  <w:p w14:paraId="265CFE5F" w14:textId="77777777" w:rsidR="00963D6A" w:rsidRPr="008D2398" w:rsidRDefault="00963D6A" w:rsidP="00DF2FB9">
    <w:pPr>
      <w:pStyle w:val="Titre7"/>
      <w:tabs>
        <w:tab w:val="right" w:pos="9540"/>
      </w:tabs>
      <w:rPr>
        <w:rFonts w:cs="Arial"/>
        <w:sz w:val="24"/>
        <w:u w:val="none"/>
      </w:rPr>
    </w:pPr>
    <w:r>
      <w:rPr>
        <w:sz w:val="24"/>
      </w:rPr>
      <w:t xml:space="preserve">Пункт </w:t>
    </w:r>
    <w:r>
      <w:rPr>
        <w:b/>
        <w:sz w:val="24"/>
      </w:rPr>
      <w:t>4.5</w:t>
    </w:r>
    <w:r>
      <w:rPr>
        <w:sz w:val="24"/>
      </w:rPr>
      <w:t xml:space="preserve"> пересмотренной предварительной повестки дня</w:t>
    </w:r>
  </w:p>
  <w:p w14:paraId="58975B86" w14:textId="77777777" w:rsidR="00963D6A" w:rsidRPr="005E544C" w:rsidRDefault="00963D6A" w:rsidP="00DF2FB9">
    <w:pPr>
      <w:rPr>
        <w:rFonts w:cs="Arial"/>
        <w:szCs w:val="22"/>
      </w:rPr>
    </w:pPr>
  </w:p>
  <w:p w14:paraId="419F1BCA" w14:textId="77777777" w:rsidR="00963D6A" w:rsidRPr="005E544C" w:rsidRDefault="00963D6A" w:rsidP="00DF2FB9">
    <w:pPr>
      <w:rPr>
        <w:rFonts w:cs="Arial"/>
        <w:szCs w:val="22"/>
      </w:rPr>
    </w:pPr>
  </w:p>
  <w:p w14:paraId="0FF9F4BE" w14:textId="1927570F" w:rsidR="00963D6A" w:rsidRPr="00963D6A" w:rsidRDefault="00963D6A" w:rsidP="00E75980">
    <w:pPr>
      <w:widowControl w:val="0"/>
      <w:tabs>
        <w:tab w:val="clear" w:pos="567"/>
      </w:tabs>
      <w:autoSpaceDE w:val="0"/>
      <w:autoSpaceDN w:val="0"/>
      <w:adjustRightInd w:val="0"/>
      <w:snapToGrid/>
      <w:spacing w:after="240" w:line="300" w:lineRule="atLeast"/>
      <w:jc w:val="center"/>
      <w:rPr>
        <w:rFonts w:ascii="Times" w:hAnsi="Times" w:cs="Times"/>
        <w:b/>
        <w:caps/>
        <w:snapToGrid/>
        <w:color w:val="000000"/>
        <w:sz w:val="28"/>
        <w:szCs w:val="28"/>
      </w:rPr>
    </w:pPr>
    <w:r w:rsidRPr="00963D6A">
      <w:rPr>
        <w:b/>
        <w:snapToGrid/>
        <w:color w:val="000000"/>
        <w:sz w:val="28"/>
        <w:szCs w:val="28"/>
      </w:rPr>
      <w:t>Первый доклад постоянной рабочей группы МОК по вопросам</w:t>
    </w:r>
    <w:r>
      <w:rPr>
        <w:b/>
        <w:snapToGrid/>
        <w:color w:val="000000"/>
        <w:sz w:val="28"/>
        <w:szCs w:val="28"/>
      </w:rPr>
      <w:br/>
    </w:r>
    <w:r w:rsidRPr="00963D6A">
      <w:rPr>
        <w:b/>
        <w:snapToGrid/>
        <w:color w:val="000000"/>
        <w:sz w:val="28"/>
        <w:szCs w:val="28"/>
      </w:rPr>
      <w:t xml:space="preserve">потребностей и вклада пользователей в продукты </w:t>
    </w:r>
    <w:r w:rsidRPr="00963D6A">
      <w:rPr>
        <w:b/>
        <w:caps/>
        <w:snapToGrid/>
        <w:color w:val="000000"/>
        <w:sz w:val="28"/>
        <w:szCs w:val="28"/>
      </w:rPr>
      <w:t>ГЕБКО</w:t>
    </w:r>
  </w:p>
  <w:p w14:paraId="032EE722" w14:textId="77777777" w:rsidR="00963D6A" w:rsidRPr="005E544C" w:rsidRDefault="00963D6A" w:rsidP="00DF2FB9">
    <w:pPr>
      <w:pStyle w:val="En-tte"/>
      <w:rPr>
        <w:rFonts w:cs="Arial"/>
        <w:szCs w:val="22"/>
      </w:rPr>
    </w:pPr>
  </w:p>
  <w:p w14:paraId="3965A91E" w14:textId="77777777" w:rsidR="00963D6A" w:rsidRPr="005E544C" w:rsidRDefault="00963D6A">
    <w:pPr>
      <w:pStyle w:val="En-tte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33E4" w14:textId="6C229495" w:rsidR="00963D6A" w:rsidRPr="00963D6A" w:rsidRDefault="00963D6A" w:rsidP="00746B89">
    <w:pPr>
      <w:pStyle w:val="En-tte"/>
      <w:tabs>
        <w:tab w:val="clear" w:pos="8306"/>
      </w:tabs>
      <w:rPr>
        <w:rFonts w:cs="Arial"/>
        <w:szCs w:val="22"/>
      </w:rPr>
    </w:pPr>
    <w:r w:rsidRPr="00963D6A">
      <w:rPr>
        <w:szCs w:val="22"/>
      </w:rPr>
      <w:t>IOC/EC-LI/2 Annex 7 – page </w:t>
    </w:r>
    <w:r w:rsidRPr="00963D6A">
      <w:rPr>
        <w:rStyle w:val="Numrodepage"/>
        <w:rFonts w:cs="Arial"/>
        <w:szCs w:val="22"/>
      </w:rPr>
      <w:fldChar w:fldCharType="begin"/>
    </w:r>
    <w:r w:rsidRPr="00963D6A">
      <w:rPr>
        <w:rStyle w:val="Numrodepage"/>
        <w:rFonts w:cs="Arial"/>
        <w:szCs w:val="22"/>
      </w:rPr>
      <w:instrText xml:space="preserve"> PAGE </w:instrText>
    </w:r>
    <w:r w:rsidRPr="00963D6A">
      <w:rPr>
        <w:rStyle w:val="Numrodepage"/>
        <w:rFonts w:cs="Arial"/>
        <w:szCs w:val="22"/>
      </w:rPr>
      <w:fldChar w:fldCharType="separate"/>
    </w:r>
    <w:r w:rsidR="006C361F">
      <w:rPr>
        <w:rStyle w:val="Numrodepage"/>
        <w:rFonts w:cs="Arial"/>
        <w:noProof/>
        <w:szCs w:val="22"/>
      </w:rPr>
      <w:t>2</w:t>
    </w:r>
    <w:r w:rsidRPr="00963D6A">
      <w:rPr>
        <w:rStyle w:val="Numrodepage"/>
        <w:rFonts w:cs="Arial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D91F" w14:textId="0ED45202" w:rsidR="00963D6A" w:rsidRPr="00963D6A" w:rsidRDefault="00963D6A" w:rsidP="00D03A14">
    <w:pPr>
      <w:pStyle w:val="En-tte"/>
      <w:tabs>
        <w:tab w:val="clear" w:pos="8306"/>
      </w:tabs>
      <w:ind w:left="6521"/>
      <w:rPr>
        <w:rFonts w:cs="Arial"/>
        <w:szCs w:val="22"/>
        <w:lang w:val="fr-FR"/>
      </w:rPr>
    </w:pPr>
    <w:r w:rsidRPr="00963D6A">
      <w:rPr>
        <w:szCs w:val="22"/>
        <w:lang w:val="fr-FR"/>
      </w:rPr>
      <w:t>IOC/EC-LI/2 Annex 7</w:t>
    </w:r>
    <w:r w:rsidRPr="00963D6A">
      <w:rPr>
        <w:szCs w:val="22"/>
      </w:rPr>
      <w:t xml:space="preserve"> – </w:t>
    </w:r>
    <w:r w:rsidRPr="00963D6A">
      <w:rPr>
        <w:szCs w:val="22"/>
        <w:lang w:val="fr-FR"/>
      </w:rPr>
      <w:t>page </w:t>
    </w:r>
    <w:r w:rsidRPr="00963D6A">
      <w:rPr>
        <w:rStyle w:val="Numrodepage"/>
        <w:rFonts w:cs="Arial"/>
        <w:szCs w:val="22"/>
      </w:rPr>
      <w:fldChar w:fldCharType="begin"/>
    </w:r>
    <w:r w:rsidRPr="00963D6A">
      <w:rPr>
        <w:rStyle w:val="Numrodepage"/>
        <w:rFonts w:cs="Arial"/>
        <w:szCs w:val="22"/>
        <w:lang w:val="fr-FR"/>
      </w:rPr>
      <w:instrText xml:space="preserve"> PAGE </w:instrText>
    </w:r>
    <w:r w:rsidRPr="00963D6A">
      <w:rPr>
        <w:rStyle w:val="Numrodepage"/>
        <w:rFonts w:cs="Arial"/>
        <w:szCs w:val="22"/>
      </w:rPr>
      <w:fldChar w:fldCharType="separate"/>
    </w:r>
    <w:r w:rsidR="006C361F">
      <w:rPr>
        <w:rStyle w:val="Numrodepage"/>
        <w:rFonts w:cs="Arial"/>
        <w:noProof/>
        <w:szCs w:val="22"/>
        <w:lang w:val="fr-FR"/>
      </w:rPr>
      <w:t>3</w:t>
    </w:r>
    <w:r w:rsidRPr="00963D6A">
      <w:rPr>
        <w:rStyle w:val="Numrodepage"/>
        <w:rFonts w:cs="Arial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D58E" w14:textId="1236F6E7" w:rsidR="00963D6A" w:rsidRPr="00963D6A" w:rsidRDefault="00963D6A" w:rsidP="00294AD5">
    <w:pPr>
      <w:pStyle w:val="En-tte"/>
      <w:jc w:val="right"/>
      <w:rPr>
        <w:rFonts w:cs="Arial"/>
        <w:szCs w:val="22"/>
      </w:rPr>
    </w:pPr>
    <w:r w:rsidRPr="00963D6A">
      <w:rPr>
        <w:szCs w:val="22"/>
      </w:rPr>
      <w:t>IOC/EC-LI/2 Annex 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56F0" w14:textId="48432D1A" w:rsidR="00963D6A" w:rsidRPr="00E97C63" w:rsidRDefault="00963D6A" w:rsidP="003C1AF7">
    <w:pPr>
      <w:pStyle w:val="En-tte"/>
      <w:tabs>
        <w:tab w:val="clear" w:pos="8306"/>
      </w:tabs>
      <w:ind w:left="10773"/>
      <w:rPr>
        <w:rFonts w:cs="Arial"/>
        <w:sz w:val="20"/>
        <w:szCs w:val="20"/>
        <w:lang w:val="fr-FR"/>
      </w:rPr>
    </w:pPr>
    <w:r w:rsidRPr="00E97C63">
      <w:rPr>
        <w:sz w:val="20"/>
        <w:szCs w:val="20"/>
        <w:lang w:val="fr-FR"/>
      </w:rPr>
      <w:t>IOC/EC-LI/2 Annex 7</w:t>
    </w:r>
  </w:p>
  <w:p w14:paraId="3D40E54B" w14:textId="5BEB616D" w:rsidR="00963D6A" w:rsidRPr="00E97C63" w:rsidRDefault="00963D6A" w:rsidP="003C1AF7">
    <w:pPr>
      <w:pStyle w:val="En-tte"/>
      <w:tabs>
        <w:tab w:val="clear" w:pos="8306"/>
      </w:tabs>
      <w:ind w:left="10773"/>
      <w:rPr>
        <w:rFonts w:cs="Arial"/>
        <w:sz w:val="20"/>
        <w:szCs w:val="20"/>
        <w:lang w:val="fr-FR"/>
      </w:rPr>
    </w:pPr>
    <w:r w:rsidRPr="00E97C63">
      <w:rPr>
        <w:sz w:val="20"/>
        <w:szCs w:val="20"/>
        <w:lang w:val="fr-FR"/>
      </w:rPr>
      <w:t>page </w:t>
    </w:r>
    <w:r w:rsidRPr="001E690F">
      <w:rPr>
        <w:rStyle w:val="Numrodepage"/>
        <w:rFonts w:cs="Arial"/>
        <w:sz w:val="20"/>
        <w:szCs w:val="20"/>
      </w:rPr>
      <w:fldChar w:fldCharType="begin"/>
    </w:r>
    <w:r w:rsidRPr="00E97C63">
      <w:rPr>
        <w:rStyle w:val="Numrodepage"/>
        <w:rFonts w:cs="Arial"/>
        <w:sz w:val="20"/>
        <w:szCs w:val="20"/>
        <w:lang w:val="fr-FR"/>
      </w:rPr>
      <w:instrText xml:space="preserve"> PAGE </w:instrText>
    </w:r>
    <w:r w:rsidRPr="001E690F">
      <w:rPr>
        <w:rStyle w:val="Numrodepage"/>
        <w:rFonts w:cs="Arial"/>
        <w:sz w:val="20"/>
        <w:szCs w:val="20"/>
      </w:rPr>
      <w:fldChar w:fldCharType="separate"/>
    </w:r>
    <w:r w:rsidR="006C361F">
      <w:rPr>
        <w:rStyle w:val="Numrodepage"/>
        <w:rFonts w:cs="Arial"/>
        <w:noProof/>
        <w:sz w:val="20"/>
        <w:szCs w:val="20"/>
        <w:lang w:val="fr-FR"/>
      </w:rPr>
      <w:t>7</w:t>
    </w:r>
    <w:r w:rsidRPr="001E690F">
      <w:rPr>
        <w:rStyle w:val="Numrodepage"/>
        <w:rFonts w:cs="Arial"/>
        <w:sz w:val="20"/>
        <w:szCs w:val="20"/>
      </w:rPr>
      <w:fldChar w:fldCharType="end"/>
    </w:r>
  </w:p>
  <w:p w14:paraId="7DA9393F" w14:textId="77777777" w:rsidR="00963D6A" w:rsidRPr="001E690F" w:rsidRDefault="00963D6A" w:rsidP="00713B0F">
    <w:pPr>
      <w:pStyle w:val="En-tte"/>
      <w:ind w:left="6804"/>
      <w:rPr>
        <w:rFonts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961C82"/>
    <w:lvl w:ilvl="0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17F176C"/>
    <w:multiLevelType w:val="hybridMultilevel"/>
    <w:tmpl w:val="8B142184"/>
    <w:lvl w:ilvl="0" w:tplc="29506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94F"/>
    <w:multiLevelType w:val="hybridMultilevel"/>
    <w:tmpl w:val="141E01F2"/>
    <w:lvl w:ilvl="0" w:tplc="7152DA2A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F470E3"/>
    <w:multiLevelType w:val="hybridMultilevel"/>
    <w:tmpl w:val="135E522A"/>
    <w:lvl w:ilvl="0" w:tplc="007E48F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63AC"/>
    <w:multiLevelType w:val="hybridMultilevel"/>
    <w:tmpl w:val="2506A2EE"/>
    <w:lvl w:ilvl="0" w:tplc="5410399A">
      <w:start w:val="1"/>
      <w:numFmt w:val="bullet"/>
      <w:pStyle w:val="Listepuces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1EB5"/>
    <w:multiLevelType w:val="hybridMultilevel"/>
    <w:tmpl w:val="A8C65A00"/>
    <w:lvl w:ilvl="0" w:tplc="4B985BC2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11D478A"/>
    <w:multiLevelType w:val="hybridMultilevel"/>
    <w:tmpl w:val="4670BCCC"/>
    <w:lvl w:ilvl="0" w:tplc="5546D634">
      <w:start w:val="1"/>
      <w:numFmt w:val="decimal"/>
      <w:pStyle w:val="COI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AFD"/>
    <w:multiLevelType w:val="hybridMultilevel"/>
    <w:tmpl w:val="FD042E84"/>
    <w:lvl w:ilvl="0" w:tplc="C98455AE">
      <w:start w:val="1"/>
      <w:numFmt w:val="lowerRoman"/>
      <w:lvlText w:val="(%1)"/>
      <w:lvlJc w:val="left"/>
      <w:pPr>
        <w:ind w:left="189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614" w:hanging="360"/>
      </w:pPr>
    </w:lvl>
    <w:lvl w:ilvl="2" w:tplc="040C001B" w:tentative="1">
      <w:start w:val="1"/>
      <w:numFmt w:val="lowerRoman"/>
      <w:lvlText w:val="%3."/>
      <w:lvlJc w:val="right"/>
      <w:pPr>
        <w:ind w:left="3334" w:hanging="180"/>
      </w:pPr>
    </w:lvl>
    <w:lvl w:ilvl="3" w:tplc="040C000F" w:tentative="1">
      <w:start w:val="1"/>
      <w:numFmt w:val="decimal"/>
      <w:lvlText w:val="%4."/>
      <w:lvlJc w:val="left"/>
      <w:pPr>
        <w:ind w:left="4054" w:hanging="360"/>
      </w:pPr>
    </w:lvl>
    <w:lvl w:ilvl="4" w:tplc="040C0019" w:tentative="1">
      <w:start w:val="1"/>
      <w:numFmt w:val="lowerLetter"/>
      <w:lvlText w:val="%5."/>
      <w:lvlJc w:val="left"/>
      <w:pPr>
        <w:ind w:left="4774" w:hanging="360"/>
      </w:pPr>
    </w:lvl>
    <w:lvl w:ilvl="5" w:tplc="040C001B" w:tentative="1">
      <w:start w:val="1"/>
      <w:numFmt w:val="lowerRoman"/>
      <w:lvlText w:val="%6."/>
      <w:lvlJc w:val="right"/>
      <w:pPr>
        <w:ind w:left="5494" w:hanging="180"/>
      </w:pPr>
    </w:lvl>
    <w:lvl w:ilvl="6" w:tplc="040C000F" w:tentative="1">
      <w:start w:val="1"/>
      <w:numFmt w:val="decimal"/>
      <w:lvlText w:val="%7."/>
      <w:lvlJc w:val="left"/>
      <w:pPr>
        <w:ind w:left="6214" w:hanging="360"/>
      </w:pPr>
    </w:lvl>
    <w:lvl w:ilvl="7" w:tplc="040C0019" w:tentative="1">
      <w:start w:val="1"/>
      <w:numFmt w:val="lowerLetter"/>
      <w:lvlText w:val="%8."/>
      <w:lvlJc w:val="left"/>
      <w:pPr>
        <w:ind w:left="6934" w:hanging="360"/>
      </w:pPr>
    </w:lvl>
    <w:lvl w:ilvl="8" w:tplc="040C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9" w15:restartNumberingAfterBreak="0">
    <w:nsid w:val="1796024F"/>
    <w:multiLevelType w:val="hybridMultilevel"/>
    <w:tmpl w:val="2EAE4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DC364A">
      <w:start w:val="1"/>
      <w:numFmt w:val="lowerRoman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646B3"/>
    <w:multiLevelType w:val="hybridMultilevel"/>
    <w:tmpl w:val="141E01F2"/>
    <w:lvl w:ilvl="0" w:tplc="7152DA2A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7E0869"/>
    <w:multiLevelType w:val="hybridMultilevel"/>
    <w:tmpl w:val="C31E0E70"/>
    <w:lvl w:ilvl="0" w:tplc="007E48FC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DD4741"/>
    <w:multiLevelType w:val="hybridMultilevel"/>
    <w:tmpl w:val="680AA886"/>
    <w:lvl w:ilvl="0" w:tplc="CB4A625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6C8D"/>
    <w:multiLevelType w:val="hybridMultilevel"/>
    <w:tmpl w:val="141E01F2"/>
    <w:lvl w:ilvl="0" w:tplc="7152DA2A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6E01B37"/>
    <w:multiLevelType w:val="hybridMultilevel"/>
    <w:tmpl w:val="563EE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29EE"/>
    <w:multiLevelType w:val="hybridMultilevel"/>
    <w:tmpl w:val="CB52B3F2"/>
    <w:lvl w:ilvl="0" w:tplc="30EA0DBE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7" w15:restartNumberingAfterBreak="0">
    <w:nsid w:val="367A2379"/>
    <w:multiLevelType w:val="hybridMultilevel"/>
    <w:tmpl w:val="141E01F2"/>
    <w:lvl w:ilvl="0" w:tplc="7152DA2A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A8A73AC"/>
    <w:multiLevelType w:val="hybridMultilevel"/>
    <w:tmpl w:val="1368D750"/>
    <w:lvl w:ilvl="0" w:tplc="A590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C8E"/>
    <w:multiLevelType w:val="hybridMultilevel"/>
    <w:tmpl w:val="492441AC"/>
    <w:lvl w:ilvl="0" w:tplc="E23E2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540DA"/>
    <w:multiLevelType w:val="hybridMultilevel"/>
    <w:tmpl w:val="42D2ED8E"/>
    <w:lvl w:ilvl="0" w:tplc="F4C4AD22">
      <w:start w:val="3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204C64"/>
    <w:multiLevelType w:val="hybridMultilevel"/>
    <w:tmpl w:val="D2827802"/>
    <w:lvl w:ilvl="0" w:tplc="81A03E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997C9CE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C2076"/>
    <w:multiLevelType w:val="hybridMultilevel"/>
    <w:tmpl w:val="1C3A4B68"/>
    <w:lvl w:ilvl="0" w:tplc="2EBADC94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2DE2"/>
    <w:multiLevelType w:val="hybridMultilevel"/>
    <w:tmpl w:val="15A4A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20F0"/>
    <w:multiLevelType w:val="hybridMultilevel"/>
    <w:tmpl w:val="8FEE34C4"/>
    <w:lvl w:ilvl="0" w:tplc="0E68EDF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6096"/>
    <w:multiLevelType w:val="hybridMultilevel"/>
    <w:tmpl w:val="238C3076"/>
    <w:lvl w:ilvl="0" w:tplc="0C4ABE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5F64"/>
    <w:multiLevelType w:val="hybridMultilevel"/>
    <w:tmpl w:val="81D429D4"/>
    <w:lvl w:ilvl="0" w:tplc="2DC2E904">
      <w:start w:val="1"/>
      <w:numFmt w:val="lowerRoman"/>
      <w:pStyle w:val="Listnumbered"/>
      <w:lvlText w:val="(%1)"/>
      <w:lvlJc w:val="left"/>
      <w:pPr>
        <w:ind w:left="189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614" w:hanging="360"/>
      </w:pPr>
    </w:lvl>
    <w:lvl w:ilvl="2" w:tplc="040C001B" w:tentative="1">
      <w:start w:val="1"/>
      <w:numFmt w:val="lowerRoman"/>
      <w:lvlText w:val="%3."/>
      <w:lvlJc w:val="right"/>
      <w:pPr>
        <w:ind w:left="3334" w:hanging="180"/>
      </w:pPr>
    </w:lvl>
    <w:lvl w:ilvl="3" w:tplc="040C000F" w:tentative="1">
      <w:start w:val="1"/>
      <w:numFmt w:val="decimal"/>
      <w:lvlText w:val="%4."/>
      <w:lvlJc w:val="left"/>
      <w:pPr>
        <w:ind w:left="4054" w:hanging="360"/>
      </w:pPr>
    </w:lvl>
    <w:lvl w:ilvl="4" w:tplc="040C0019" w:tentative="1">
      <w:start w:val="1"/>
      <w:numFmt w:val="lowerLetter"/>
      <w:lvlText w:val="%5."/>
      <w:lvlJc w:val="left"/>
      <w:pPr>
        <w:ind w:left="4774" w:hanging="360"/>
      </w:pPr>
    </w:lvl>
    <w:lvl w:ilvl="5" w:tplc="040C001B" w:tentative="1">
      <w:start w:val="1"/>
      <w:numFmt w:val="lowerRoman"/>
      <w:lvlText w:val="%6."/>
      <w:lvlJc w:val="right"/>
      <w:pPr>
        <w:ind w:left="5494" w:hanging="180"/>
      </w:pPr>
    </w:lvl>
    <w:lvl w:ilvl="6" w:tplc="040C000F" w:tentative="1">
      <w:start w:val="1"/>
      <w:numFmt w:val="decimal"/>
      <w:lvlText w:val="%7."/>
      <w:lvlJc w:val="left"/>
      <w:pPr>
        <w:ind w:left="6214" w:hanging="360"/>
      </w:pPr>
    </w:lvl>
    <w:lvl w:ilvl="7" w:tplc="040C0019" w:tentative="1">
      <w:start w:val="1"/>
      <w:numFmt w:val="lowerLetter"/>
      <w:lvlText w:val="%8."/>
      <w:lvlJc w:val="left"/>
      <w:pPr>
        <w:ind w:left="6934" w:hanging="360"/>
      </w:pPr>
    </w:lvl>
    <w:lvl w:ilvl="8" w:tplc="040C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7" w15:restartNumberingAfterBreak="0">
    <w:nsid w:val="5A3B5CFA"/>
    <w:multiLevelType w:val="hybridMultilevel"/>
    <w:tmpl w:val="4D169270"/>
    <w:lvl w:ilvl="0" w:tplc="C95C5C62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468CA"/>
    <w:multiLevelType w:val="hybridMultilevel"/>
    <w:tmpl w:val="9482BD72"/>
    <w:lvl w:ilvl="0" w:tplc="86DE6F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C2240"/>
    <w:multiLevelType w:val="hybridMultilevel"/>
    <w:tmpl w:val="141E01F2"/>
    <w:lvl w:ilvl="0" w:tplc="7152DA2A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3BF6D88"/>
    <w:multiLevelType w:val="hybridMultilevel"/>
    <w:tmpl w:val="E3221166"/>
    <w:lvl w:ilvl="0" w:tplc="664CD5F0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6D1A4058"/>
    <w:multiLevelType w:val="hybridMultilevel"/>
    <w:tmpl w:val="7C5EB578"/>
    <w:lvl w:ilvl="0" w:tplc="2A102208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77CE3"/>
    <w:multiLevelType w:val="hybridMultilevel"/>
    <w:tmpl w:val="20D26F6E"/>
    <w:lvl w:ilvl="0" w:tplc="441C6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A7B25"/>
    <w:multiLevelType w:val="hybridMultilevel"/>
    <w:tmpl w:val="F54AA63A"/>
    <w:lvl w:ilvl="0" w:tplc="6BD2C834">
      <w:start w:val="1"/>
      <w:numFmt w:val="lowerRoman"/>
      <w:lvlText w:val="(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7CC4372B"/>
    <w:multiLevelType w:val="hybridMultilevel"/>
    <w:tmpl w:val="D760FB90"/>
    <w:lvl w:ilvl="0" w:tplc="CF9623DE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C70B2"/>
    <w:multiLevelType w:val="hybridMultilevel"/>
    <w:tmpl w:val="5E069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319D0"/>
    <w:multiLevelType w:val="hybridMultilevel"/>
    <w:tmpl w:val="9FD6857E"/>
    <w:lvl w:ilvl="0" w:tplc="9CA84540">
      <w:start w:val="1"/>
      <w:numFmt w:val="lowerRoman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4"/>
  </w:num>
  <w:num w:numId="5">
    <w:abstractNumId w:val="6"/>
  </w:num>
  <w:num w:numId="6">
    <w:abstractNumId w:val="21"/>
  </w:num>
  <w:num w:numId="7">
    <w:abstractNumId w:val="21"/>
  </w:num>
  <w:num w:numId="8">
    <w:abstractNumId w:val="0"/>
    <w:lvlOverride w:ilvl="0">
      <w:startOverride w:val="1"/>
    </w:lvlOverride>
  </w:num>
  <w:num w:numId="9">
    <w:abstractNumId w:val="36"/>
  </w:num>
  <w:num w:numId="10">
    <w:abstractNumId w:val="15"/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31"/>
  </w:num>
  <w:num w:numId="14">
    <w:abstractNumId w:val="27"/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33"/>
  </w:num>
  <w:num w:numId="21">
    <w:abstractNumId w:val="33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8"/>
  </w:num>
  <w:num w:numId="33">
    <w:abstractNumId w:val="33"/>
    <w:lvlOverride w:ilvl="0">
      <w:startOverride w:val="1"/>
    </w:lvlOverride>
  </w:num>
  <w:num w:numId="34">
    <w:abstractNumId w:val="10"/>
  </w:num>
  <w:num w:numId="35">
    <w:abstractNumId w:val="32"/>
  </w:num>
  <w:num w:numId="36">
    <w:abstractNumId w:val="5"/>
  </w:num>
  <w:num w:numId="37">
    <w:abstractNumId w:val="20"/>
  </w:num>
  <w:num w:numId="38">
    <w:abstractNumId w:val="3"/>
  </w:num>
  <w:num w:numId="39">
    <w:abstractNumId w:val="11"/>
  </w:num>
  <w:num w:numId="40">
    <w:abstractNumId w:val="21"/>
    <w:lvlOverride w:ilvl="0">
      <w:startOverride w:val="1"/>
    </w:lvlOverride>
  </w:num>
  <w:num w:numId="41">
    <w:abstractNumId w:val="21"/>
  </w:num>
  <w:num w:numId="42">
    <w:abstractNumId w:val="18"/>
  </w:num>
  <w:num w:numId="43">
    <w:abstractNumId w:val="1"/>
  </w:num>
  <w:num w:numId="44">
    <w:abstractNumId w:val="35"/>
  </w:num>
  <w:num w:numId="45">
    <w:abstractNumId w:val="19"/>
  </w:num>
  <w:num w:numId="46">
    <w:abstractNumId w:val="24"/>
  </w:num>
  <w:num w:numId="47">
    <w:abstractNumId w:val="26"/>
  </w:num>
  <w:num w:numId="48">
    <w:abstractNumId w:val="8"/>
  </w:num>
  <w:num w:numId="49">
    <w:abstractNumId w:val="12"/>
  </w:num>
  <w:num w:numId="50">
    <w:abstractNumId w:val="19"/>
  </w:num>
  <w:num w:numId="51">
    <w:abstractNumId w:val="23"/>
  </w:num>
  <w:num w:numId="52">
    <w:abstractNumId w:val="26"/>
    <w:lvlOverride w:ilvl="0">
      <w:startOverride w:val="1"/>
    </w:lvlOverride>
  </w:num>
  <w:num w:numId="53">
    <w:abstractNumId w:val="26"/>
  </w:num>
  <w:num w:numId="54">
    <w:abstractNumId w:val="19"/>
    <w:lvlOverride w:ilvl="0">
      <w:startOverride w:val="1"/>
    </w:lvlOverride>
  </w:num>
  <w:num w:numId="55">
    <w:abstractNumId w:val="26"/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"/>
  </w:num>
  <w:num w:numId="60">
    <w:abstractNumId w:val="17"/>
  </w:num>
  <w:num w:numId="61">
    <w:abstractNumId w:val="29"/>
  </w:num>
  <w:num w:numId="62">
    <w:abstractNumId w:val="13"/>
  </w:num>
  <w:num w:numId="63">
    <w:abstractNumId w:val="14"/>
  </w:num>
  <w:num w:numId="64">
    <w:abstractNumId w:val="30"/>
  </w:num>
  <w:num w:numId="65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UNESCOTERM-Acronyms-01-07-2015|UNESCOTERM-Long-01-07-2015|UNESCOTERM-Short-01-07-2015"/>
    <w:docVar w:name="TermBaseURL" w:val="empty"/>
    <w:docVar w:name="TextBases" w:val="HQ-MULTITRANS.hq.int.unesco.org\TextBase TMs\BASIC-TEXTS|HQ-MULTITRANS.hq.int.unesco.org\TextBase TMs\RES-DEC|HQ-MULTITRANS.hq.int.unesco.org\TextBase TMs\EX-GC-2013-2017|HQ-MULTITRANS.hq.int.unesco.org\TextBase TMs\EX-GC-2008-2012|HQ-MULTITRANS.hq.int.unesco.org\TextBase TMs\EX-GC-until-2007|HQ-MULTITRANS.hq.int.unesco.org\TextBase TMs\DG|HQ-MULTITRANS.hq.int.unesco.org\TextBase TMs\C-4-C-5\39-C-5|HQ-MULTITRANS.hq.int.unesco.org\TextBase TMs\C-4-C-5\38-C-5|HQ-MULTITRANS.hq.int.unesco.org\TextBase TMs\C-4-C-5\37-C-4-C-5|HQ-MULTITRANS.hq.int.unesco.org\TextBase TMs\C-4-C-5\36-C-5|HQ-MULTITRANS.hq.int.unesco.org\TextBase TMs\C-4-C-5\35-C-5|HQ-MULTITRANS.hq.int.unesco.org\TextBase TMs\C-4-C-5\34-C-4-C-5|HQ-MULTITRANS.hq.int.unesco.org\TextBase TMs\CI-2013-2017|HQ-MULTITRANS.hq.int.unesco.org\TextBase TMs\CI-until-2012|HQ-MULTITRANS.hq.int.unesco.org\TextBase TMs\CLT-2013-2017|HQ-MULTITRANS.hq.int.unesco.org\TextBase TMs\CLT-until-2012|HQ-MULTITRANS.hq.int.unesco.org\TextBase TMs\DIVERS|HQ-MULTITRANS.hq.int.unesco.org\TextBase TMs\ED-2013-2017|HQ-MULTITRANS.hq.int.unesco.org\TextBase TMs\ED-until-2012|HQ-MULTITRANS.hq.int.unesco.org\TextBase TMs\EFA-GMR-2010|HQ-MULTITRANS.hq.int.unesco.org\TextBase TMs\EFA-GMR-2011|HQ-MULTITRANS.hq.int.unesco.org\TextBase TMs\EFA-GMR-2012|HQ-MULTITRANS.hq.int.unesco.org\TextBase TMs\EFA-GMR-2013|HQ-MULTITRANS.hq.int.unesco.org\TextBase TMs\EFA-GMR-2015|HQ-MULTITRANS.hq.int.unesco.org\TextBase TMs\HQ|HQ-MULTITRANS.hq.int.unesco.org\TextBase TMs\IOS|HQ-MULTITRANS.hq.int.unesco.org\TextBase TMs\LETTRES-CIRCULAIRES|HQ-MULTITRANS.hq.int.unesco.org\TextBase TMs\ONU|HQ-MULTITRANS.hq.int.unesco.org\TextBase TMs\SC-2013-2017|HQ-MULTITRANS.hq.int.unesco.org\TextBase TMs\SC-until-2012|HQ-MULTITRANS.hq.int.unesco.org\TextBase TMs\SHS-2013-2017|HQ-MULTITRANS.hq.int.unesco.org\TextBase TMs\SHS-until-2012"/>
    <w:docVar w:name="TextBaseURL" w:val="empty"/>
    <w:docVar w:name="UILng" w:val="fr"/>
  </w:docVars>
  <w:rsids>
    <w:rsidRoot w:val="00144684"/>
    <w:rsid w:val="00003A1A"/>
    <w:rsid w:val="00003B31"/>
    <w:rsid w:val="00004D34"/>
    <w:rsid w:val="00010BBB"/>
    <w:rsid w:val="00017A30"/>
    <w:rsid w:val="00020AA1"/>
    <w:rsid w:val="0002158D"/>
    <w:rsid w:val="00025B7B"/>
    <w:rsid w:val="0003133E"/>
    <w:rsid w:val="00035AF5"/>
    <w:rsid w:val="00037E03"/>
    <w:rsid w:val="000417F8"/>
    <w:rsid w:val="00067F82"/>
    <w:rsid w:val="00085D6A"/>
    <w:rsid w:val="00097DA6"/>
    <w:rsid w:val="000A7FB1"/>
    <w:rsid w:val="000B1A20"/>
    <w:rsid w:val="000C5724"/>
    <w:rsid w:val="000C6B07"/>
    <w:rsid w:val="000E0056"/>
    <w:rsid w:val="000E5624"/>
    <w:rsid w:val="000E5ADF"/>
    <w:rsid w:val="000F0254"/>
    <w:rsid w:val="000F161B"/>
    <w:rsid w:val="000F760A"/>
    <w:rsid w:val="001112E8"/>
    <w:rsid w:val="00114AEC"/>
    <w:rsid w:val="00116099"/>
    <w:rsid w:val="00120E1B"/>
    <w:rsid w:val="00123719"/>
    <w:rsid w:val="001241D7"/>
    <w:rsid w:val="001321C5"/>
    <w:rsid w:val="00137E97"/>
    <w:rsid w:val="00144684"/>
    <w:rsid w:val="001448C4"/>
    <w:rsid w:val="001548E8"/>
    <w:rsid w:val="00155393"/>
    <w:rsid w:val="00162125"/>
    <w:rsid w:val="00167158"/>
    <w:rsid w:val="0017532C"/>
    <w:rsid w:val="00176CD4"/>
    <w:rsid w:val="0017774E"/>
    <w:rsid w:val="001860FA"/>
    <w:rsid w:val="00190529"/>
    <w:rsid w:val="001916EC"/>
    <w:rsid w:val="001939E4"/>
    <w:rsid w:val="00196052"/>
    <w:rsid w:val="001A289D"/>
    <w:rsid w:val="001B2FE2"/>
    <w:rsid w:val="001B3918"/>
    <w:rsid w:val="001B3B24"/>
    <w:rsid w:val="001B402E"/>
    <w:rsid w:val="001C0AAE"/>
    <w:rsid w:val="001C1C9B"/>
    <w:rsid w:val="001C6455"/>
    <w:rsid w:val="001E26A2"/>
    <w:rsid w:val="001E690F"/>
    <w:rsid w:val="001F0B5A"/>
    <w:rsid w:val="00206BA1"/>
    <w:rsid w:val="00206D6F"/>
    <w:rsid w:val="0021210D"/>
    <w:rsid w:val="00234F31"/>
    <w:rsid w:val="00236D05"/>
    <w:rsid w:val="002376FB"/>
    <w:rsid w:val="00241383"/>
    <w:rsid w:val="00243B38"/>
    <w:rsid w:val="00253BD8"/>
    <w:rsid w:val="0025433D"/>
    <w:rsid w:val="0025736D"/>
    <w:rsid w:val="002659F8"/>
    <w:rsid w:val="00284536"/>
    <w:rsid w:val="002949A7"/>
    <w:rsid w:val="00294AD5"/>
    <w:rsid w:val="002A04D1"/>
    <w:rsid w:val="002A796C"/>
    <w:rsid w:val="002B178B"/>
    <w:rsid w:val="002B46BF"/>
    <w:rsid w:val="002C2FF2"/>
    <w:rsid w:val="002C3DF6"/>
    <w:rsid w:val="002C3E9B"/>
    <w:rsid w:val="002C596E"/>
    <w:rsid w:val="002C7DE3"/>
    <w:rsid w:val="002D4ED8"/>
    <w:rsid w:val="002E0127"/>
    <w:rsid w:val="002E0859"/>
    <w:rsid w:val="0030123F"/>
    <w:rsid w:val="0031332A"/>
    <w:rsid w:val="00320149"/>
    <w:rsid w:val="00320646"/>
    <w:rsid w:val="00324F75"/>
    <w:rsid w:val="0034156B"/>
    <w:rsid w:val="00342F53"/>
    <w:rsid w:val="00343C57"/>
    <w:rsid w:val="00353C37"/>
    <w:rsid w:val="003550A5"/>
    <w:rsid w:val="003561BE"/>
    <w:rsid w:val="00356423"/>
    <w:rsid w:val="0037627A"/>
    <w:rsid w:val="003805F5"/>
    <w:rsid w:val="00382CCE"/>
    <w:rsid w:val="00391AF7"/>
    <w:rsid w:val="0039386C"/>
    <w:rsid w:val="003939FE"/>
    <w:rsid w:val="003A05CF"/>
    <w:rsid w:val="003A18FA"/>
    <w:rsid w:val="003A407B"/>
    <w:rsid w:val="003A40BA"/>
    <w:rsid w:val="003A6CC2"/>
    <w:rsid w:val="003A7860"/>
    <w:rsid w:val="003B2FC0"/>
    <w:rsid w:val="003B3B87"/>
    <w:rsid w:val="003B4A0F"/>
    <w:rsid w:val="003C1AF7"/>
    <w:rsid w:val="003C6E0F"/>
    <w:rsid w:val="003D3711"/>
    <w:rsid w:val="003D5F0D"/>
    <w:rsid w:val="003E35CF"/>
    <w:rsid w:val="003E4CEC"/>
    <w:rsid w:val="003E6719"/>
    <w:rsid w:val="003E687B"/>
    <w:rsid w:val="003F0A29"/>
    <w:rsid w:val="003F55CF"/>
    <w:rsid w:val="003F7186"/>
    <w:rsid w:val="004031FB"/>
    <w:rsid w:val="004050B8"/>
    <w:rsid w:val="00410117"/>
    <w:rsid w:val="00413755"/>
    <w:rsid w:val="00413F17"/>
    <w:rsid w:val="00416D20"/>
    <w:rsid w:val="00422B0A"/>
    <w:rsid w:val="00424DE6"/>
    <w:rsid w:val="00430B9C"/>
    <w:rsid w:val="004407F3"/>
    <w:rsid w:val="00440B91"/>
    <w:rsid w:val="00442396"/>
    <w:rsid w:val="0044580D"/>
    <w:rsid w:val="0045220A"/>
    <w:rsid w:val="004529B8"/>
    <w:rsid w:val="00456861"/>
    <w:rsid w:val="00464583"/>
    <w:rsid w:val="00466731"/>
    <w:rsid w:val="00467E3F"/>
    <w:rsid w:val="00484C33"/>
    <w:rsid w:val="00486051"/>
    <w:rsid w:val="00491245"/>
    <w:rsid w:val="00493C76"/>
    <w:rsid w:val="004A135F"/>
    <w:rsid w:val="004A5C23"/>
    <w:rsid w:val="004B08CD"/>
    <w:rsid w:val="004B2ACF"/>
    <w:rsid w:val="004C1625"/>
    <w:rsid w:val="004D4386"/>
    <w:rsid w:val="004D6F79"/>
    <w:rsid w:val="004E238F"/>
    <w:rsid w:val="004F50CF"/>
    <w:rsid w:val="004F7D6C"/>
    <w:rsid w:val="0050647A"/>
    <w:rsid w:val="005078D4"/>
    <w:rsid w:val="005166B1"/>
    <w:rsid w:val="005201C0"/>
    <w:rsid w:val="00521E89"/>
    <w:rsid w:val="00526498"/>
    <w:rsid w:val="00530734"/>
    <w:rsid w:val="0053237C"/>
    <w:rsid w:val="00534A32"/>
    <w:rsid w:val="00535822"/>
    <w:rsid w:val="00544C7D"/>
    <w:rsid w:val="00546B3E"/>
    <w:rsid w:val="00555B2F"/>
    <w:rsid w:val="005635DA"/>
    <w:rsid w:val="005656DF"/>
    <w:rsid w:val="00587597"/>
    <w:rsid w:val="00592868"/>
    <w:rsid w:val="0059553A"/>
    <w:rsid w:val="00597036"/>
    <w:rsid w:val="005A50AF"/>
    <w:rsid w:val="005A7AEE"/>
    <w:rsid w:val="005B5796"/>
    <w:rsid w:val="005C6AFB"/>
    <w:rsid w:val="005C7A36"/>
    <w:rsid w:val="005C7D76"/>
    <w:rsid w:val="005D0681"/>
    <w:rsid w:val="005D2676"/>
    <w:rsid w:val="005E1CBC"/>
    <w:rsid w:val="005E544C"/>
    <w:rsid w:val="006001FA"/>
    <w:rsid w:val="00600CF1"/>
    <w:rsid w:val="006023F7"/>
    <w:rsid w:val="00604669"/>
    <w:rsid w:val="00610162"/>
    <w:rsid w:val="006110DA"/>
    <w:rsid w:val="006308D7"/>
    <w:rsid w:val="00633EA5"/>
    <w:rsid w:val="006375A2"/>
    <w:rsid w:val="00660210"/>
    <w:rsid w:val="00665534"/>
    <w:rsid w:val="00667D57"/>
    <w:rsid w:val="00677F43"/>
    <w:rsid w:val="006842FA"/>
    <w:rsid w:val="0068682C"/>
    <w:rsid w:val="00690A0C"/>
    <w:rsid w:val="00690FD2"/>
    <w:rsid w:val="00693199"/>
    <w:rsid w:val="00693D8A"/>
    <w:rsid w:val="006B4B95"/>
    <w:rsid w:val="006B6242"/>
    <w:rsid w:val="006C18D9"/>
    <w:rsid w:val="006C361F"/>
    <w:rsid w:val="006C6449"/>
    <w:rsid w:val="006D2C51"/>
    <w:rsid w:val="006F35B7"/>
    <w:rsid w:val="00713B0F"/>
    <w:rsid w:val="00713D86"/>
    <w:rsid w:val="0071455B"/>
    <w:rsid w:val="00735923"/>
    <w:rsid w:val="00737A18"/>
    <w:rsid w:val="00741300"/>
    <w:rsid w:val="00746B89"/>
    <w:rsid w:val="007527E2"/>
    <w:rsid w:val="00767257"/>
    <w:rsid w:val="0077708A"/>
    <w:rsid w:val="007770E0"/>
    <w:rsid w:val="00782302"/>
    <w:rsid w:val="007851AB"/>
    <w:rsid w:val="0078527D"/>
    <w:rsid w:val="00785C26"/>
    <w:rsid w:val="0079212B"/>
    <w:rsid w:val="00793B5C"/>
    <w:rsid w:val="00794F18"/>
    <w:rsid w:val="007956C0"/>
    <w:rsid w:val="00795B40"/>
    <w:rsid w:val="007A5CE2"/>
    <w:rsid w:val="007A7EE2"/>
    <w:rsid w:val="007B045D"/>
    <w:rsid w:val="007B1791"/>
    <w:rsid w:val="007C26E4"/>
    <w:rsid w:val="007C34FE"/>
    <w:rsid w:val="007D687A"/>
    <w:rsid w:val="007E5381"/>
    <w:rsid w:val="007F2910"/>
    <w:rsid w:val="008048D2"/>
    <w:rsid w:val="0081004E"/>
    <w:rsid w:val="00813E06"/>
    <w:rsid w:val="00813E1E"/>
    <w:rsid w:val="00815B5D"/>
    <w:rsid w:val="00815D8E"/>
    <w:rsid w:val="00824D89"/>
    <w:rsid w:val="00833837"/>
    <w:rsid w:val="00840C5E"/>
    <w:rsid w:val="00843F51"/>
    <w:rsid w:val="0084583E"/>
    <w:rsid w:val="0084750D"/>
    <w:rsid w:val="00853565"/>
    <w:rsid w:val="0086006B"/>
    <w:rsid w:val="00870BE7"/>
    <w:rsid w:val="00881576"/>
    <w:rsid w:val="008843D0"/>
    <w:rsid w:val="0088781D"/>
    <w:rsid w:val="00887DEA"/>
    <w:rsid w:val="008A0422"/>
    <w:rsid w:val="008A6E5C"/>
    <w:rsid w:val="008B384B"/>
    <w:rsid w:val="008C60C2"/>
    <w:rsid w:val="008D0EB0"/>
    <w:rsid w:val="008D2398"/>
    <w:rsid w:val="008D76D9"/>
    <w:rsid w:val="008E3080"/>
    <w:rsid w:val="008E5F8B"/>
    <w:rsid w:val="008F3ECE"/>
    <w:rsid w:val="008F4468"/>
    <w:rsid w:val="008F6942"/>
    <w:rsid w:val="00901C97"/>
    <w:rsid w:val="009026D3"/>
    <w:rsid w:val="00904ACD"/>
    <w:rsid w:val="00910355"/>
    <w:rsid w:val="009129C3"/>
    <w:rsid w:val="0091719B"/>
    <w:rsid w:val="0092006C"/>
    <w:rsid w:val="009275D7"/>
    <w:rsid w:val="00946A5F"/>
    <w:rsid w:val="00962366"/>
    <w:rsid w:val="00963D6A"/>
    <w:rsid w:val="009646B1"/>
    <w:rsid w:val="0098534D"/>
    <w:rsid w:val="00985A9C"/>
    <w:rsid w:val="0099280B"/>
    <w:rsid w:val="009933DE"/>
    <w:rsid w:val="00993CA4"/>
    <w:rsid w:val="009A07E6"/>
    <w:rsid w:val="009B63AB"/>
    <w:rsid w:val="009C0A89"/>
    <w:rsid w:val="009C15B1"/>
    <w:rsid w:val="009E0FA6"/>
    <w:rsid w:val="009E295A"/>
    <w:rsid w:val="009E6A03"/>
    <w:rsid w:val="009F3445"/>
    <w:rsid w:val="009F3A67"/>
    <w:rsid w:val="009F7769"/>
    <w:rsid w:val="00A0411C"/>
    <w:rsid w:val="00A10267"/>
    <w:rsid w:val="00A11697"/>
    <w:rsid w:val="00A11E8B"/>
    <w:rsid w:val="00A17C5F"/>
    <w:rsid w:val="00A25BC8"/>
    <w:rsid w:val="00A26F26"/>
    <w:rsid w:val="00A56F06"/>
    <w:rsid w:val="00A63CC4"/>
    <w:rsid w:val="00A73699"/>
    <w:rsid w:val="00A739A0"/>
    <w:rsid w:val="00A82D45"/>
    <w:rsid w:val="00AA17E5"/>
    <w:rsid w:val="00AA2C4F"/>
    <w:rsid w:val="00AA3D96"/>
    <w:rsid w:val="00AA5221"/>
    <w:rsid w:val="00AD0F0C"/>
    <w:rsid w:val="00AD3D55"/>
    <w:rsid w:val="00AD6E43"/>
    <w:rsid w:val="00AE047A"/>
    <w:rsid w:val="00AE312B"/>
    <w:rsid w:val="00AE5CF2"/>
    <w:rsid w:val="00AF0BD1"/>
    <w:rsid w:val="00AF65FC"/>
    <w:rsid w:val="00B01233"/>
    <w:rsid w:val="00B3275C"/>
    <w:rsid w:val="00B407B3"/>
    <w:rsid w:val="00B4337D"/>
    <w:rsid w:val="00B435E3"/>
    <w:rsid w:val="00B47B1D"/>
    <w:rsid w:val="00B6447D"/>
    <w:rsid w:val="00B71FF6"/>
    <w:rsid w:val="00B722DE"/>
    <w:rsid w:val="00B72A49"/>
    <w:rsid w:val="00B77FDD"/>
    <w:rsid w:val="00B83068"/>
    <w:rsid w:val="00B91959"/>
    <w:rsid w:val="00B97B6C"/>
    <w:rsid w:val="00BA12A5"/>
    <w:rsid w:val="00BA53D5"/>
    <w:rsid w:val="00BC11FE"/>
    <w:rsid w:val="00BC7C0A"/>
    <w:rsid w:val="00BD16C4"/>
    <w:rsid w:val="00BD6603"/>
    <w:rsid w:val="00BE2172"/>
    <w:rsid w:val="00BE449B"/>
    <w:rsid w:val="00BE6E8E"/>
    <w:rsid w:val="00BF069C"/>
    <w:rsid w:val="00BF3835"/>
    <w:rsid w:val="00C05768"/>
    <w:rsid w:val="00C06161"/>
    <w:rsid w:val="00C061C5"/>
    <w:rsid w:val="00C1002D"/>
    <w:rsid w:val="00C130EA"/>
    <w:rsid w:val="00C13E2B"/>
    <w:rsid w:val="00C2635E"/>
    <w:rsid w:val="00C3684D"/>
    <w:rsid w:val="00C4032B"/>
    <w:rsid w:val="00C41B14"/>
    <w:rsid w:val="00C44244"/>
    <w:rsid w:val="00C46D9D"/>
    <w:rsid w:val="00C6486C"/>
    <w:rsid w:val="00C648D3"/>
    <w:rsid w:val="00C704BA"/>
    <w:rsid w:val="00C75B02"/>
    <w:rsid w:val="00C8561F"/>
    <w:rsid w:val="00C860A6"/>
    <w:rsid w:val="00C92557"/>
    <w:rsid w:val="00C94B68"/>
    <w:rsid w:val="00C962F0"/>
    <w:rsid w:val="00CA1942"/>
    <w:rsid w:val="00CB2EB6"/>
    <w:rsid w:val="00CC2C41"/>
    <w:rsid w:val="00CC62EA"/>
    <w:rsid w:val="00CD11B8"/>
    <w:rsid w:val="00CE2169"/>
    <w:rsid w:val="00CE3617"/>
    <w:rsid w:val="00CF08C1"/>
    <w:rsid w:val="00D00AD9"/>
    <w:rsid w:val="00D013ED"/>
    <w:rsid w:val="00D03A14"/>
    <w:rsid w:val="00D055D7"/>
    <w:rsid w:val="00D06A7E"/>
    <w:rsid w:val="00D0781D"/>
    <w:rsid w:val="00D217C8"/>
    <w:rsid w:val="00D22B5C"/>
    <w:rsid w:val="00D336AC"/>
    <w:rsid w:val="00D36BDC"/>
    <w:rsid w:val="00D37D2B"/>
    <w:rsid w:val="00D5049E"/>
    <w:rsid w:val="00D513FC"/>
    <w:rsid w:val="00D55FEC"/>
    <w:rsid w:val="00D77E88"/>
    <w:rsid w:val="00D812B2"/>
    <w:rsid w:val="00D822C5"/>
    <w:rsid w:val="00D9009A"/>
    <w:rsid w:val="00D93094"/>
    <w:rsid w:val="00D93974"/>
    <w:rsid w:val="00DA64A4"/>
    <w:rsid w:val="00DB525C"/>
    <w:rsid w:val="00DB736C"/>
    <w:rsid w:val="00DC2DE3"/>
    <w:rsid w:val="00DC2E8A"/>
    <w:rsid w:val="00DC7C75"/>
    <w:rsid w:val="00DD4132"/>
    <w:rsid w:val="00DD47DC"/>
    <w:rsid w:val="00DD5114"/>
    <w:rsid w:val="00DE16E2"/>
    <w:rsid w:val="00DE28EB"/>
    <w:rsid w:val="00DE2F65"/>
    <w:rsid w:val="00DF2FB9"/>
    <w:rsid w:val="00DF34BA"/>
    <w:rsid w:val="00E11735"/>
    <w:rsid w:val="00E23C9A"/>
    <w:rsid w:val="00E32CFD"/>
    <w:rsid w:val="00E4080B"/>
    <w:rsid w:val="00E539DB"/>
    <w:rsid w:val="00E569F5"/>
    <w:rsid w:val="00E63DEF"/>
    <w:rsid w:val="00E64936"/>
    <w:rsid w:val="00E670A8"/>
    <w:rsid w:val="00E734C9"/>
    <w:rsid w:val="00E74AC7"/>
    <w:rsid w:val="00E75980"/>
    <w:rsid w:val="00E77199"/>
    <w:rsid w:val="00E81972"/>
    <w:rsid w:val="00E961AB"/>
    <w:rsid w:val="00E97C63"/>
    <w:rsid w:val="00EA079B"/>
    <w:rsid w:val="00EA7C9A"/>
    <w:rsid w:val="00EB7964"/>
    <w:rsid w:val="00EC3F2D"/>
    <w:rsid w:val="00ED2B39"/>
    <w:rsid w:val="00ED3FC2"/>
    <w:rsid w:val="00EE0542"/>
    <w:rsid w:val="00EE2F96"/>
    <w:rsid w:val="00EE681F"/>
    <w:rsid w:val="00F0048C"/>
    <w:rsid w:val="00F01AED"/>
    <w:rsid w:val="00F0251D"/>
    <w:rsid w:val="00F164B2"/>
    <w:rsid w:val="00F22DA5"/>
    <w:rsid w:val="00F24701"/>
    <w:rsid w:val="00F463F2"/>
    <w:rsid w:val="00F4670D"/>
    <w:rsid w:val="00F50AC4"/>
    <w:rsid w:val="00F571B0"/>
    <w:rsid w:val="00F62D18"/>
    <w:rsid w:val="00F64CF5"/>
    <w:rsid w:val="00F66599"/>
    <w:rsid w:val="00F67E7E"/>
    <w:rsid w:val="00F70674"/>
    <w:rsid w:val="00F8186D"/>
    <w:rsid w:val="00F94787"/>
    <w:rsid w:val="00FA61E8"/>
    <w:rsid w:val="00FA718F"/>
    <w:rsid w:val="00FB55D5"/>
    <w:rsid w:val="00FB64B7"/>
    <w:rsid w:val="00FC6605"/>
    <w:rsid w:val="00FD1780"/>
    <w:rsid w:val="00FD68DE"/>
    <w:rsid w:val="00FD6CAE"/>
    <w:rsid w:val="00FE0FC1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9453A8"/>
  <w15:docId w15:val="{347BAB50-219D-41E7-9793-6B571FB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eastAsia="en-US"/>
    </w:rPr>
  </w:style>
  <w:style w:type="paragraph" w:styleId="Titre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Titre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Titre3">
    <w:name w:val="heading 3"/>
    <w:basedOn w:val="Normal"/>
    <w:next w:val="Marge"/>
    <w:autoRedefine/>
    <w:qFormat/>
    <w:rsid w:val="001B2FE2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Titre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Titre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Titre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Titre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1B2FE2"/>
    <w:pPr>
      <w:numPr>
        <w:numId w:val="65"/>
      </w:numPr>
      <w:ind w:left="0" w:firstLine="0"/>
    </w:pPr>
    <w:rPr>
      <w:rFonts w:eastAsia="Arial Unicode MS"/>
      <w:szCs w:val="22"/>
    </w:rPr>
  </w:style>
  <w:style w:type="paragraph" w:styleId="Normalcentr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</w:rPr>
  </w:style>
  <w:style w:type="paragraph" w:styleId="Corpsdetexte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cs="Arial"/>
      <w:snapToGrid/>
      <w:color w:val="FF0000"/>
      <w:lang w:eastAsia="ja-JP"/>
    </w:rPr>
  </w:style>
  <w:style w:type="paragraph" w:styleId="Retraitcorpsdetexte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En-tte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Retraitcorpset1relig">
    <w:name w:val="Body Text First Indent 2"/>
    <w:basedOn w:val="Retraitcorpsdetexte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epuces2"/>
    <w:autoRedefine/>
    <w:rsid w:val="00660210"/>
    <w:pPr>
      <w:numPr>
        <w:numId w:val="47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ru-RU" w:eastAsia="en-US" w:bidi="ar-SA"/>
    </w:rPr>
  </w:style>
  <w:style w:type="paragraph" w:styleId="Listepuces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ru-RU" w:eastAsia="en-US" w:bidi="ar-SA"/>
    </w:rPr>
  </w:style>
  <w:style w:type="character" w:customStyle="1" w:styleId="COIChar">
    <w:name w:val="COI Char"/>
    <w:link w:val="COI"/>
    <w:rsid w:val="001B2FE2"/>
    <w:rPr>
      <w:rFonts w:ascii="Arial" w:eastAsia="Arial Unicode MS" w:hAnsi="Arial"/>
      <w:snapToGrid w:val="0"/>
      <w:sz w:val="22"/>
      <w:szCs w:val="22"/>
      <w:lang w:eastAsia="en-US"/>
    </w:rPr>
  </w:style>
  <w:style w:type="character" w:customStyle="1" w:styleId="Titre9Car">
    <w:name w:val="Titre 9 Car"/>
    <w:link w:val="Titre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ru-RU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ru-RU" w:eastAsia="en-US"/>
    </w:rPr>
  </w:style>
  <w:style w:type="character" w:styleId="Lienhypertexte">
    <w:name w:val="Hyperlink"/>
    <w:basedOn w:val="Policepardfaut"/>
    <w:uiPriority w:val="99"/>
    <w:rsid w:val="00C263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403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739A0"/>
    <w:pPr>
      <w:tabs>
        <w:tab w:val="clear" w:pos="567"/>
      </w:tabs>
      <w:snapToGri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szCs w:val="22"/>
      <w:lang w:eastAsia="ja-JP"/>
    </w:rPr>
  </w:style>
  <w:style w:type="table" w:styleId="Grilledutableau">
    <w:name w:val="Table Grid"/>
    <w:basedOn w:val="TableauNormal"/>
    <w:uiPriority w:val="59"/>
    <w:rsid w:val="00A739A0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3E35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E35CF"/>
    <w:rPr>
      <w:rFonts w:ascii="Segoe UI" w:hAnsi="Segoe UI" w:cs="Segoe UI"/>
      <w:snapToGrid w:val="0"/>
      <w:sz w:val="18"/>
      <w:szCs w:val="18"/>
      <w:lang w:val="ru-RU" w:eastAsia="en-US"/>
    </w:rPr>
  </w:style>
  <w:style w:type="paragraph" w:styleId="Rvision">
    <w:name w:val="Revision"/>
    <w:hidden/>
    <w:uiPriority w:val="99"/>
    <w:semiHidden/>
    <w:rsid w:val="00206D6F"/>
    <w:rPr>
      <w:rFonts w:ascii="Arial" w:hAnsi="Arial"/>
      <w:snapToGrid w:val="0"/>
      <w:sz w:val="22"/>
      <w:szCs w:val="24"/>
      <w:lang w:eastAsia="en-US"/>
    </w:rPr>
  </w:style>
  <w:style w:type="character" w:styleId="Marquedecommentaire">
    <w:name w:val="annotation reference"/>
    <w:basedOn w:val="Policepardfaut"/>
    <w:semiHidden/>
    <w:unhideWhenUsed/>
    <w:rsid w:val="00324F7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4F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4F75"/>
    <w:rPr>
      <w:rFonts w:ascii="Arial" w:hAnsi="Arial"/>
      <w:snapToGrid w:val="0"/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4F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4F75"/>
    <w:rPr>
      <w:rFonts w:ascii="Arial" w:hAnsi="Arial"/>
      <w:b/>
      <w:bCs/>
      <w:snapToGrid w:val="0"/>
      <w:lang w:val="ru-RU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auNormal"/>
    <w:next w:val="Grilledutableau"/>
    <w:uiPriority w:val="59"/>
    <w:rsid w:val="00A736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ebco.net/data_and_products/history_of_gebco/" TargetMode="External"/><Relationship Id="rId18" Type="http://schemas.openxmlformats.org/officeDocument/2006/relationships/hyperlink" Target="https://www.gebco.net/data_and_products/gebco_cook_book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www.gebco.net/data_and_products/hard_copy_char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ebco.net/data_and_products/undersea_feature_names/" TargetMode="External"/><Relationship Id="rId17" Type="http://schemas.openxmlformats.org/officeDocument/2006/relationships/hyperlink" Target="https://www.gebco.net/data_and_products/printable_maps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gebco.net/data_and_products/gebco_web_services/" TargetMode="External"/><Relationship Id="rId20" Type="http://schemas.openxmlformats.org/officeDocument/2006/relationships/hyperlink" Target="https://www.gebco.net/data_and_products/image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bco.net/data_and_products/gridded_bathymetry_data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gebco.net/data_and_products/gebco_digital_atlas/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.gebco.net/data_and_products/historical_gebco_chart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ebco.net/data_and_products/grid_display_software/" TargetMode="External"/><Relationship Id="rId22" Type="http://schemas.openxmlformats.org/officeDocument/2006/relationships/hyperlink" Target="http://www.ioc-unesco.org/index.php?option=com_oe&amp;task=viewDocumentRecord&amp;docID=17316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bco.net/data_and_product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(OSAMU)\Osamu's%20documents\GEBCO\GEBCO%20review\Review%20Report\chair%20draft%20ver2\GEBCO_WD-EC4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08F1-3F9C-4500-A0E3-7C8720A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GEBCO_WD-EC49.dotx</Template>
  <TotalTime>1</TotalTime>
  <Pages>9</Pages>
  <Words>1752</Words>
  <Characters>13127</Characters>
  <Application>Microsoft Office Word</Application>
  <DocSecurity>4</DocSecurity>
  <Lines>109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Первый доклад постоянной рабочей группы МОК по вопросам потребностей и вклада пользователей в продукты ГЕБКО_x000d_
</vt:lpstr>
      <vt:lpstr>The Road to the UN Year</vt:lpstr>
    </vt:vector>
  </TitlesOfParts>
  <Company>UNESCO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доклад постоянной рабочей группы МОК по вопросам потребностей и вклада пользователей в продукты ГЕБКО</dc:title>
  <dc:subject>IOC/EC-51/2 ANNEX 7</dc:subject>
  <dc:creator>UNESCO</dc:creator>
  <cp:keywords>1397.18R</cp:keywords>
  <dc:description/>
  <cp:lastModifiedBy>Patrice Boned</cp:lastModifiedBy>
  <cp:revision>2</cp:revision>
  <cp:lastPrinted>2018-06-08T13:34:00Z</cp:lastPrinted>
  <dcterms:created xsi:type="dcterms:W3CDTF">2018-06-21T09:47:00Z</dcterms:created>
  <dcterms:modified xsi:type="dcterms:W3CDTF">2018-06-21T09:47:00Z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108787</vt:i4>
  </property>
  <property fmtid="{D5CDD505-2E9C-101B-9397-08002B2CF9AE}" pid="3" name="JobDMS">
    <vt:lpwstr>1397.18</vt:lpwstr>
  </property>
  <property fmtid="{D5CDD505-2E9C-101B-9397-08002B2CF9AE}" pid="4" name="Language">
    <vt:lpwstr>R</vt:lpwstr>
  </property>
</Properties>
</file>